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FCEB" w14:textId="15B69C3E" w:rsidR="00DD7179" w:rsidRPr="002B4840" w:rsidRDefault="00DD7179" w:rsidP="009D515B">
      <w:pPr>
        <w:tabs>
          <w:tab w:val="left" w:pos="2825"/>
          <w:tab w:val="left" w:pos="6720"/>
        </w:tabs>
        <w:rPr>
          <w:b/>
          <w:bCs/>
          <w:noProof/>
          <w:szCs w:val="28"/>
        </w:rPr>
      </w:pPr>
      <w:r w:rsidRPr="002B4840">
        <w:rPr>
          <w:b/>
          <w:bCs/>
          <w:noProof/>
          <w:szCs w:val="28"/>
        </w:rPr>
        <w:drawing>
          <wp:anchor distT="0" distB="0" distL="114300" distR="114300" simplePos="0" relativeHeight="251677696" behindDoc="1" locked="0" layoutInCell="1" allowOverlap="1" wp14:anchorId="5C7E966E" wp14:editId="24D0F439">
            <wp:simplePos x="0" y="0"/>
            <wp:positionH relativeFrom="margin">
              <wp:posOffset>-32385</wp:posOffset>
            </wp:positionH>
            <wp:positionV relativeFrom="page">
              <wp:posOffset>238125</wp:posOffset>
            </wp:positionV>
            <wp:extent cx="2771775" cy="1476375"/>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18" t="17007" r="4725" b="23810"/>
                    <a:stretch/>
                  </pic:blipFill>
                  <pic:spPr bwMode="auto">
                    <a:xfrm>
                      <a:off x="0" y="0"/>
                      <a:ext cx="277177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F6B93" w14:textId="2657E9F1" w:rsidR="00655036" w:rsidRPr="002B4840" w:rsidRDefault="00447A48" w:rsidP="009D515B">
      <w:pPr>
        <w:tabs>
          <w:tab w:val="left" w:pos="2825"/>
          <w:tab w:val="left" w:pos="6720"/>
        </w:tabs>
        <w:rPr>
          <w:lang w:val="es-HN"/>
        </w:rPr>
      </w:pPr>
      <w:r w:rsidRPr="002B4840">
        <w:rPr>
          <w:noProof/>
        </w:rPr>
        <w:drawing>
          <wp:anchor distT="0" distB="0" distL="114300" distR="114300" simplePos="0" relativeHeight="251663360" behindDoc="1" locked="0" layoutInCell="1" allowOverlap="1" wp14:anchorId="029E47DA" wp14:editId="2D36F2EA">
            <wp:simplePos x="0" y="0"/>
            <wp:positionH relativeFrom="page">
              <wp:align>left</wp:align>
            </wp:positionH>
            <wp:positionV relativeFrom="page">
              <wp:align>top</wp:align>
            </wp:positionV>
            <wp:extent cx="482600" cy="9136380"/>
            <wp:effectExtent l="0" t="0" r="0" b="7620"/>
            <wp:wrapNone/>
            <wp:docPr id="7" name="Imagen 7" descr="WhatsApp Image 2023-06-23 at 8.39.1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3-06-23 at 8.39.10 P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9136380"/>
                    </a:xfrm>
                    <a:prstGeom prst="rect">
                      <a:avLst/>
                    </a:prstGeom>
                    <a:noFill/>
                  </pic:spPr>
                </pic:pic>
              </a:graphicData>
            </a:graphic>
            <wp14:sizeRelV relativeFrom="margin">
              <wp14:pctHeight>0</wp14:pctHeight>
            </wp14:sizeRelV>
          </wp:anchor>
        </w:drawing>
      </w:r>
      <w:r w:rsidR="003C7780" w:rsidRPr="002B4840">
        <w:rPr>
          <w:noProof/>
        </w:rPr>
        <w:drawing>
          <wp:anchor distT="0" distB="0" distL="114300" distR="114300" simplePos="0" relativeHeight="251657216" behindDoc="1" locked="0" layoutInCell="1" allowOverlap="1" wp14:anchorId="03E09DF1" wp14:editId="5B17E544">
            <wp:simplePos x="0" y="0"/>
            <wp:positionH relativeFrom="column">
              <wp:posOffset>-1072515</wp:posOffset>
            </wp:positionH>
            <wp:positionV relativeFrom="paragraph">
              <wp:posOffset>-899795</wp:posOffset>
            </wp:positionV>
            <wp:extent cx="482600" cy="9136380"/>
            <wp:effectExtent l="0" t="0" r="0" b="7620"/>
            <wp:wrapNone/>
            <wp:docPr id="5" name="Imagen 5" descr="WhatsApp Image 2023-06-23 at 8.39.1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3-06-23 at 8.39.10 P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9136380"/>
                    </a:xfrm>
                    <a:prstGeom prst="rect">
                      <a:avLst/>
                    </a:prstGeom>
                    <a:noFill/>
                  </pic:spPr>
                </pic:pic>
              </a:graphicData>
            </a:graphic>
            <wp14:sizeRelV relativeFrom="margin">
              <wp14:pctHeight>0</wp14:pctHeight>
            </wp14:sizeRelV>
          </wp:anchor>
        </w:drawing>
      </w:r>
      <w:r w:rsidR="00F00CAD" w:rsidRPr="002B4840">
        <w:rPr>
          <w:b/>
          <w:bCs/>
          <w:noProof/>
          <w:szCs w:val="24"/>
          <w:u w:val="single"/>
        </w:rPr>
        <w:drawing>
          <wp:anchor distT="0" distB="0" distL="114300" distR="114300" simplePos="0" relativeHeight="251658240" behindDoc="1" locked="0" layoutInCell="1" allowOverlap="1" wp14:anchorId="3EC33CD1" wp14:editId="0DBF184B">
            <wp:simplePos x="0" y="0"/>
            <wp:positionH relativeFrom="margin">
              <wp:align>right</wp:align>
            </wp:positionH>
            <wp:positionV relativeFrom="paragraph">
              <wp:posOffset>-834159</wp:posOffset>
            </wp:positionV>
            <wp:extent cx="2527935" cy="1287780"/>
            <wp:effectExtent l="0" t="0" r="5715" b="7620"/>
            <wp:wrapNone/>
            <wp:docPr id="6" name="Imagen 6" descr="WhatsApp Image 2023-06-23 at 8.45.3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3-06-23 at 8.45.32 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935" cy="1287780"/>
                    </a:xfrm>
                    <a:prstGeom prst="rect">
                      <a:avLst/>
                    </a:prstGeom>
                    <a:noFill/>
                  </pic:spPr>
                </pic:pic>
              </a:graphicData>
            </a:graphic>
            <wp14:sizeRelH relativeFrom="page">
              <wp14:pctWidth>0</wp14:pctWidth>
            </wp14:sizeRelH>
            <wp14:sizeRelV relativeFrom="page">
              <wp14:pctHeight>0</wp14:pctHeight>
            </wp14:sizeRelV>
          </wp:anchor>
        </w:drawing>
      </w:r>
      <w:r w:rsidR="00EB2478" w:rsidRPr="002B4840">
        <w:rPr>
          <w:lang w:val="es-HN"/>
        </w:rPr>
        <w:tab/>
      </w:r>
      <w:r w:rsidR="009D515B" w:rsidRPr="002B4840">
        <w:rPr>
          <w:lang w:val="es-HN"/>
        </w:rPr>
        <w:tab/>
      </w:r>
    </w:p>
    <w:p w14:paraId="240F5E89" w14:textId="5169CC9F" w:rsidR="002B4840" w:rsidRPr="002B4840" w:rsidRDefault="002B4840" w:rsidP="002B4840">
      <w:pPr>
        <w:rPr>
          <w:b/>
          <w:bCs/>
          <w:szCs w:val="24"/>
          <w:u w:val="single"/>
          <w:shd w:val="clear" w:color="auto" w:fill="FFFFFF"/>
          <w:lang w:val="es-HN"/>
        </w:rPr>
      </w:pPr>
    </w:p>
    <w:p w14:paraId="1A96DEBC" w14:textId="486F31F6" w:rsidR="002B4840" w:rsidRPr="002B4840" w:rsidRDefault="002B4840" w:rsidP="002B4840">
      <w:pPr>
        <w:pStyle w:val="Sinespaciado"/>
        <w:jc w:val="right"/>
        <w:rPr>
          <w:b/>
          <w:bCs/>
          <w:shd w:val="clear" w:color="auto" w:fill="FFFFFF"/>
        </w:rPr>
      </w:pPr>
      <w:r w:rsidRPr="002B4840">
        <w:rPr>
          <w:b/>
          <w:bCs/>
          <w:shd w:val="clear" w:color="auto" w:fill="FFFFFF"/>
        </w:rPr>
        <w:fldChar w:fldCharType="begin"/>
      </w:r>
      <w:r w:rsidRPr="002B4840">
        <w:rPr>
          <w:b/>
          <w:bCs/>
          <w:shd w:val="clear" w:color="auto" w:fill="FFFFFF"/>
        </w:rPr>
        <w:instrText xml:space="preserve"> DATE \@ "dddd dd 'de' MMMM" </w:instrText>
      </w:r>
      <w:r w:rsidRPr="002B4840">
        <w:rPr>
          <w:b/>
          <w:bCs/>
          <w:shd w:val="clear" w:color="auto" w:fill="FFFFFF"/>
        </w:rPr>
        <w:fldChar w:fldCharType="separate"/>
      </w:r>
      <w:r w:rsidR="008753D9">
        <w:rPr>
          <w:b/>
          <w:bCs/>
          <w:noProof/>
          <w:shd w:val="clear" w:color="auto" w:fill="FFFFFF"/>
        </w:rPr>
        <w:t>jueves 21 de diciembre</w:t>
      </w:r>
      <w:r w:rsidRPr="002B4840">
        <w:rPr>
          <w:b/>
          <w:bCs/>
          <w:shd w:val="clear" w:color="auto" w:fill="FFFFFF"/>
        </w:rPr>
        <w:fldChar w:fldCharType="end"/>
      </w:r>
    </w:p>
    <w:p w14:paraId="28EBA039" w14:textId="77777777" w:rsidR="002B4840" w:rsidRPr="002B4840" w:rsidRDefault="002B4840" w:rsidP="002B4840">
      <w:pPr>
        <w:pStyle w:val="Sinespaciado"/>
        <w:rPr>
          <w:b/>
          <w:bCs/>
          <w:sz w:val="24"/>
          <w:szCs w:val="32"/>
          <w:shd w:val="clear" w:color="auto" w:fill="FFFFFF"/>
        </w:rPr>
      </w:pPr>
      <w:r w:rsidRPr="002B4840">
        <w:rPr>
          <w:b/>
          <w:bCs/>
          <w:sz w:val="24"/>
          <w:szCs w:val="32"/>
          <w:shd w:val="clear" w:color="auto" w:fill="FFFFFF"/>
        </w:rPr>
        <w:t xml:space="preserve">NOTA DE PRENSA </w:t>
      </w:r>
    </w:p>
    <w:p w14:paraId="726E80F2" w14:textId="77777777" w:rsidR="002B4840" w:rsidRPr="002B4840" w:rsidRDefault="002B4840" w:rsidP="002B4840">
      <w:pPr>
        <w:pStyle w:val="Sinespaciado"/>
        <w:rPr>
          <w:b/>
          <w:bCs/>
          <w:sz w:val="24"/>
          <w:szCs w:val="24"/>
          <w:shd w:val="clear" w:color="auto" w:fill="FFFFFF"/>
        </w:rPr>
      </w:pPr>
    </w:p>
    <w:p w14:paraId="1455C6BE" w14:textId="4AD84BDF" w:rsidR="002B4840" w:rsidRPr="002B4840" w:rsidRDefault="002B4840" w:rsidP="002B4840">
      <w:pPr>
        <w:pStyle w:val="Sinespaciado"/>
        <w:rPr>
          <w:b/>
          <w:bCs/>
          <w:sz w:val="24"/>
          <w:szCs w:val="24"/>
          <w:u w:val="single"/>
        </w:rPr>
      </w:pPr>
      <w:r w:rsidRPr="002B4840">
        <w:rPr>
          <w:b/>
          <w:bCs/>
          <w:sz w:val="24"/>
          <w:szCs w:val="24"/>
          <w:u w:val="single"/>
          <w:shd w:val="clear" w:color="auto" w:fill="FFFFFF"/>
        </w:rPr>
        <w:t>ICF</w:t>
      </w:r>
      <w:r w:rsidR="008753D9">
        <w:rPr>
          <w:b/>
          <w:bCs/>
          <w:sz w:val="24"/>
          <w:szCs w:val="24"/>
          <w:u w:val="single"/>
          <w:shd w:val="clear" w:color="auto" w:fill="FFFFFF"/>
        </w:rPr>
        <w:t xml:space="preserve"> Y</w:t>
      </w:r>
      <w:r w:rsidRPr="002B4840">
        <w:rPr>
          <w:b/>
          <w:bCs/>
          <w:sz w:val="24"/>
          <w:szCs w:val="24"/>
          <w:u w:val="single"/>
          <w:shd w:val="clear" w:color="auto" w:fill="FFFFFF"/>
        </w:rPr>
        <w:t xml:space="preserve"> FUERZA DE TAREA                                                                                  </w:t>
      </w:r>
    </w:p>
    <w:p w14:paraId="39B62032" w14:textId="77777777" w:rsidR="002B4840" w:rsidRPr="002B4840" w:rsidRDefault="002B4840" w:rsidP="002B4840">
      <w:pPr>
        <w:jc w:val="both"/>
        <w:rPr>
          <w:b/>
          <w:bCs/>
          <w:sz w:val="28"/>
          <w:szCs w:val="32"/>
          <w:shd w:val="clear" w:color="auto" w:fill="FFFFFF"/>
          <w:lang w:val="es-HN"/>
        </w:rPr>
      </w:pPr>
      <w:r w:rsidRPr="002B4840">
        <w:rPr>
          <w:b/>
          <w:bCs/>
          <w:sz w:val="28"/>
          <w:szCs w:val="32"/>
          <w:shd w:val="clear" w:color="auto" w:fill="FFFFFF"/>
          <w:lang w:val="es-HN"/>
        </w:rPr>
        <w:t xml:space="preserve">164 auditorías técnicas para fortalecer gobernanza y asegurar legalidad ambiental </w:t>
      </w:r>
    </w:p>
    <w:p w14:paraId="1AFDE858" w14:textId="77777777" w:rsidR="002B4840" w:rsidRPr="002B4840" w:rsidRDefault="002B4840" w:rsidP="002B4840">
      <w:pPr>
        <w:jc w:val="both"/>
        <w:rPr>
          <w:b/>
          <w:bCs/>
          <w:lang w:val="es-HN"/>
        </w:rPr>
      </w:pPr>
      <w:r w:rsidRPr="002B4840">
        <w:rPr>
          <w:szCs w:val="24"/>
          <w:shd w:val="clear" w:color="auto" w:fill="FFFFFF"/>
          <w:lang w:val="es-HN"/>
        </w:rPr>
        <w:t xml:space="preserve">El Instituto Nacional de Conservación y Desarrollo Forestal, Áreas Protegidas y Vida Silvestre (ICF), con el fin de fortalecer la gobernanza y la legalidad en el campo ambiental, con la </w:t>
      </w:r>
      <w:r w:rsidRPr="002B4840">
        <w:rPr>
          <w:rFonts w:eastAsia="Calibri"/>
          <w:lang w:val="es-ES"/>
        </w:rPr>
        <w:t>Fuerza de Tarea Interinstitucional Contra el Delito Ambiental (FTIA)</w:t>
      </w:r>
      <w:r w:rsidRPr="002B4840">
        <w:rPr>
          <w:lang w:val="es-ES"/>
        </w:rPr>
        <w:t xml:space="preserve">, desarrolló 164 auditorías técnicas a nivel nacional. </w:t>
      </w:r>
    </w:p>
    <w:p w14:paraId="19C74B11" w14:textId="77777777" w:rsidR="002B4840" w:rsidRPr="002B4840" w:rsidRDefault="002B4840" w:rsidP="002B4840">
      <w:pPr>
        <w:pStyle w:val="Sinespaciado"/>
        <w:jc w:val="both"/>
      </w:pPr>
      <w:r w:rsidRPr="002B4840">
        <w:t xml:space="preserve">Con la FTIA, se instalaron puestos de control y vigilancia, aumentando la capacidad institucional para atención de delitos forestal y operativos de control, dejando como resultado la ejecución de 91 operativos para el control del delito ambiental en conjunto con el departamento de auditoría técnica del ICF. </w:t>
      </w:r>
    </w:p>
    <w:p w14:paraId="0D978F84" w14:textId="77777777" w:rsidR="002B4840" w:rsidRPr="002B4840" w:rsidRDefault="002B4840" w:rsidP="002B4840">
      <w:pPr>
        <w:pStyle w:val="Sinespaciado"/>
        <w:jc w:val="both"/>
      </w:pPr>
    </w:p>
    <w:p w14:paraId="0A69613F" w14:textId="77777777" w:rsidR="002B4840" w:rsidRPr="002B4840" w:rsidRDefault="002B4840" w:rsidP="002B4840">
      <w:pPr>
        <w:pStyle w:val="Sinespaciado"/>
        <w:jc w:val="both"/>
      </w:pPr>
      <w:r w:rsidRPr="002B4840">
        <w:t xml:space="preserve">En 2023 se realizaron un total de 164 auditorías, para frenar la comisión de delitos ambientales, y mantener una supervisión constante en términos de legalidad; en detalle, se ejecutaron 89 auditorías técnicas a planes de manejo y 75 auditorías a la industria forestal en aserraderos.  </w:t>
      </w:r>
    </w:p>
    <w:p w14:paraId="07C45A66" w14:textId="77777777" w:rsidR="002B4840" w:rsidRPr="002B4840" w:rsidRDefault="002B4840" w:rsidP="002B4840">
      <w:pPr>
        <w:pStyle w:val="Sinespaciado"/>
        <w:jc w:val="both"/>
      </w:pPr>
    </w:p>
    <w:p w14:paraId="12CCAA7D" w14:textId="77777777" w:rsidR="002B4840" w:rsidRPr="002B4840" w:rsidRDefault="002B4840" w:rsidP="002B4840">
      <w:pPr>
        <w:jc w:val="both"/>
        <w:rPr>
          <w:lang w:val="es-HN"/>
        </w:rPr>
      </w:pPr>
      <w:r w:rsidRPr="002B4840">
        <w:rPr>
          <w:lang w:val="es-HN"/>
        </w:rPr>
        <w:t>Como un hito histórico para fortalecer la gobernanza del sector ambiental del país, este año, se inició el proceso de creación de un juzgado ambiental para atender las denuncias de los delitos que ocurran en la zona de la Mosquitia; la cual manejará tres jurisdicciones; centro, la Mosquitia-Olancho, y Nor-Occidente.</w:t>
      </w:r>
    </w:p>
    <w:p w14:paraId="50B53010" w14:textId="77777777" w:rsidR="002B4840" w:rsidRPr="002B4840" w:rsidRDefault="002B4840" w:rsidP="002B4840">
      <w:pPr>
        <w:pStyle w:val="Sinespaciado"/>
        <w:jc w:val="both"/>
      </w:pPr>
      <w:r w:rsidRPr="002B4840">
        <w:t>Además, se mantiene instalada la FTIA, en la región sur de Honduras, para atender las denuncias sobre las amenazas que atentan con los recursos naturales en esa región del país, como el bosque de mangle, humedales y diferentes ecosistemas que permiten desarrollar medios de vida para las comunidades.</w:t>
      </w:r>
    </w:p>
    <w:p w14:paraId="5201A78F" w14:textId="77777777" w:rsidR="002B4840" w:rsidRPr="002B4840" w:rsidRDefault="002B4840" w:rsidP="002B4840">
      <w:pPr>
        <w:pStyle w:val="Sinespaciado"/>
        <w:jc w:val="both"/>
      </w:pPr>
    </w:p>
    <w:p w14:paraId="2485F94F" w14:textId="77777777" w:rsidR="002B4840" w:rsidRPr="002B4840" w:rsidRDefault="002B4840" w:rsidP="002B4840">
      <w:pPr>
        <w:pStyle w:val="Sinespaciado"/>
        <w:jc w:val="both"/>
      </w:pPr>
      <w:r w:rsidRPr="002B4840">
        <w:t>De forma interinstitucional, se mantuvo coordinación con los Batallones de Protección Ambiental con las Fuerzas Armadas, Procuraduría General de la República (PGR), Fiscalía Especial del Medioambiente.</w:t>
      </w:r>
    </w:p>
    <w:p w14:paraId="42BA15CE" w14:textId="77777777" w:rsidR="002B4840" w:rsidRPr="002B4840" w:rsidRDefault="002B4840" w:rsidP="002B4840">
      <w:pPr>
        <w:pStyle w:val="Sinespaciado"/>
        <w:jc w:val="both"/>
      </w:pPr>
    </w:p>
    <w:p w14:paraId="77E34BF6" w14:textId="77777777" w:rsidR="002B4840" w:rsidRPr="002B4840" w:rsidRDefault="002B4840" w:rsidP="002B4840">
      <w:pPr>
        <w:pStyle w:val="Sinespaciado"/>
        <w:jc w:val="both"/>
      </w:pPr>
      <w:r w:rsidRPr="002B4840">
        <w:t>Entre el fortalecimiento en favor de la gobernanza, se instalaron cuatro nuevos puestos de control, de la siguiente manera, uno en Limones, Olancho, Desvío Río Dulce, municipio de Talanga, desvío a La Herradura, municipio de Guaimaca y Dulce Nombre de Culmí, en Olancho.</w:t>
      </w:r>
    </w:p>
    <w:p w14:paraId="65E60B2F" w14:textId="77777777" w:rsidR="002B4840" w:rsidRPr="002B4840" w:rsidRDefault="002B4840" w:rsidP="002B4840">
      <w:pPr>
        <w:pStyle w:val="Sinespaciado"/>
        <w:jc w:val="both"/>
      </w:pPr>
    </w:p>
    <w:p w14:paraId="62DBC10F" w14:textId="73798290" w:rsidR="002B4840" w:rsidRPr="002B4840" w:rsidRDefault="002B4840" w:rsidP="002B4840">
      <w:pPr>
        <w:jc w:val="both"/>
        <w:rPr>
          <w:rFonts w:ascii="MontserratRoman-Light" w:hAnsi="MontserratRoman-Light" w:cs="MontserratRoman-Light"/>
          <w:szCs w:val="19"/>
          <w:lang w:val="es-HN"/>
        </w:rPr>
      </w:pPr>
      <w:r w:rsidRPr="002B4840">
        <w:rPr>
          <w:rFonts w:ascii="MontserratRoman-Light" w:hAnsi="MontserratRoman-Light" w:cs="MontserratRoman-Light"/>
          <w:szCs w:val="19"/>
          <w:lang w:val="es-HN"/>
        </w:rPr>
        <w:t xml:space="preserve">Además, en el marco de las acciones contra el delito forestal y ambiental del </w:t>
      </w:r>
      <w:r w:rsidRPr="002B4840">
        <w:rPr>
          <w:shd w:val="clear" w:color="auto" w:fill="FFFFFF"/>
          <w:lang w:val="es-HN"/>
        </w:rPr>
        <w:t>Programa Presidencial Padre Andrés Tamayo (PPAT) y la FTIA, se desarrollaron 117 inspecciones de campo y operativos, 23 patrullajes, en los departamentos de Olancho, Yoro, Francisco Morazán, Comayagua, Intibucá.</w:t>
      </w:r>
    </w:p>
    <w:sectPr w:rsidR="002B4840" w:rsidRPr="002B4840" w:rsidSect="000E174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8F5D" w14:textId="77777777" w:rsidR="005228E4" w:rsidRDefault="005228E4" w:rsidP="00AA0D95">
      <w:pPr>
        <w:spacing w:after="0" w:line="240" w:lineRule="auto"/>
      </w:pPr>
      <w:r>
        <w:separator/>
      </w:r>
    </w:p>
  </w:endnote>
  <w:endnote w:type="continuationSeparator" w:id="0">
    <w:p w14:paraId="18DF0B71" w14:textId="77777777" w:rsidR="005228E4" w:rsidRDefault="005228E4" w:rsidP="00AA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Roman-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B81" w14:textId="55A3C1F1" w:rsidR="003A7C95" w:rsidRPr="00887480" w:rsidRDefault="00EB2478" w:rsidP="003A7C95">
    <w:pPr>
      <w:pStyle w:val="Sinespaciado"/>
      <w:rPr>
        <w:b/>
        <w:bCs/>
      </w:rPr>
    </w:pPr>
    <w:r w:rsidRPr="0016758A">
      <w:rPr>
        <w:noProof/>
        <w:lang w:val="en-US"/>
      </w:rPr>
      <w:drawing>
        <wp:anchor distT="0" distB="0" distL="114300" distR="114300" simplePos="0" relativeHeight="251661312" behindDoc="0" locked="0" layoutInCell="1" allowOverlap="1" wp14:anchorId="5E6EF4E2" wp14:editId="61B564A1">
          <wp:simplePos x="0" y="0"/>
          <wp:positionH relativeFrom="leftMargin">
            <wp:posOffset>15241</wp:posOffset>
          </wp:positionH>
          <wp:positionV relativeFrom="paragraph">
            <wp:posOffset>5715</wp:posOffset>
          </wp:positionV>
          <wp:extent cx="922020" cy="40087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9064" cy="408289"/>
                  </a:xfrm>
                  <a:prstGeom prst="rect">
                    <a:avLst/>
                  </a:prstGeom>
                </pic:spPr>
              </pic:pic>
            </a:graphicData>
          </a:graphic>
          <wp14:sizeRelH relativeFrom="margin">
            <wp14:pctWidth>0</wp14:pctWidth>
          </wp14:sizeRelH>
          <wp14:sizeRelV relativeFrom="margin">
            <wp14:pctHeight>0</wp14:pctHeight>
          </wp14:sizeRelV>
        </wp:anchor>
      </w:drawing>
    </w:r>
    <w:r w:rsidR="00A44A1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6390" w14:textId="77777777" w:rsidR="005228E4" w:rsidRDefault="005228E4" w:rsidP="00AA0D95">
      <w:pPr>
        <w:spacing w:after="0" w:line="240" w:lineRule="auto"/>
      </w:pPr>
      <w:r>
        <w:separator/>
      </w:r>
    </w:p>
  </w:footnote>
  <w:footnote w:type="continuationSeparator" w:id="0">
    <w:p w14:paraId="7EABB738" w14:textId="77777777" w:rsidR="005228E4" w:rsidRDefault="005228E4" w:rsidP="00AA0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7D"/>
    <w:rsid w:val="00003985"/>
    <w:rsid w:val="00004100"/>
    <w:rsid w:val="0000463D"/>
    <w:rsid w:val="0000727D"/>
    <w:rsid w:val="00015C42"/>
    <w:rsid w:val="0003379A"/>
    <w:rsid w:val="000340D2"/>
    <w:rsid w:val="00043735"/>
    <w:rsid w:val="000579B4"/>
    <w:rsid w:val="00084F2A"/>
    <w:rsid w:val="00094C7E"/>
    <w:rsid w:val="000B496D"/>
    <w:rsid w:val="000C7A8B"/>
    <w:rsid w:val="000D12BC"/>
    <w:rsid w:val="000D2555"/>
    <w:rsid w:val="000D3DFA"/>
    <w:rsid w:val="000E1745"/>
    <w:rsid w:val="000E24D6"/>
    <w:rsid w:val="000F5B6F"/>
    <w:rsid w:val="00103E71"/>
    <w:rsid w:val="0010536E"/>
    <w:rsid w:val="001178BD"/>
    <w:rsid w:val="00131C76"/>
    <w:rsid w:val="001352FD"/>
    <w:rsid w:val="00135EBE"/>
    <w:rsid w:val="001402FE"/>
    <w:rsid w:val="00162596"/>
    <w:rsid w:val="00166D0B"/>
    <w:rsid w:val="001777B0"/>
    <w:rsid w:val="0019185F"/>
    <w:rsid w:val="001B0EE6"/>
    <w:rsid w:val="001C2E2E"/>
    <w:rsid w:val="001F12CD"/>
    <w:rsid w:val="00233AEA"/>
    <w:rsid w:val="00234A3D"/>
    <w:rsid w:val="00245474"/>
    <w:rsid w:val="00261FD6"/>
    <w:rsid w:val="002708FC"/>
    <w:rsid w:val="00280AC3"/>
    <w:rsid w:val="00297052"/>
    <w:rsid w:val="002A02BD"/>
    <w:rsid w:val="002B059D"/>
    <w:rsid w:val="002B2FE1"/>
    <w:rsid w:val="002B4840"/>
    <w:rsid w:val="002D3330"/>
    <w:rsid w:val="002D7D38"/>
    <w:rsid w:val="0030020F"/>
    <w:rsid w:val="00306ECD"/>
    <w:rsid w:val="003230A4"/>
    <w:rsid w:val="00332AD6"/>
    <w:rsid w:val="00353471"/>
    <w:rsid w:val="00370CC6"/>
    <w:rsid w:val="00375B59"/>
    <w:rsid w:val="003957DD"/>
    <w:rsid w:val="00397FCE"/>
    <w:rsid w:val="003A7C95"/>
    <w:rsid w:val="003B5433"/>
    <w:rsid w:val="003B7720"/>
    <w:rsid w:val="003C7780"/>
    <w:rsid w:val="003D32A7"/>
    <w:rsid w:val="003D3BF8"/>
    <w:rsid w:val="003F7B40"/>
    <w:rsid w:val="004055F0"/>
    <w:rsid w:val="00427B6D"/>
    <w:rsid w:val="00435195"/>
    <w:rsid w:val="00447A48"/>
    <w:rsid w:val="00466E8B"/>
    <w:rsid w:val="00483CBE"/>
    <w:rsid w:val="00486084"/>
    <w:rsid w:val="004A1E47"/>
    <w:rsid w:val="004A33C7"/>
    <w:rsid w:val="004B6006"/>
    <w:rsid w:val="004E6D7C"/>
    <w:rsid w:val="0050212B"/>
    <w:rsid w:val="00503E81"/>
    <w:rsid w:val="00503F62"/>
    <w:rsid w:val="00512303"/>
    <w:rsid w:val="00517CD7"/>
    <w:rsid w:val="005228E4"/>
    <w:rsid w:val="005300CD"/>
    <w:rsid w:val="005461EF"/>
    <w:rsid w:val="0055173B"/>
    <w:rsid w:val="00564527"/>
    <w:rsid w:val="00580EDF"/>
    <w:rsid w:val="00587387"/>
    <w:rsid w:val="005A785E"/>
    <w:rsid w:val="005E032C"/>
    <w:rsid w:val="005E1A6A"/>
    <w:rsid w:val="005E29ED"/>
    <w:rsid w:val="005F6B8A"/>
    <w:rsid w:val="00602278"/>
    <w:rsid w:val="00606CBC"/>
    <w:rsid w:val="0061117E"/>
    <w:rsid w:val="00647408"/>
    <w:rsid w:val="006531FC"/>
    <w:rsid w:val="00654579"/>
    <w:rsid w:val="00655036"/>
    <w:rsid w:val="00655C39"/>
    <w:rsid w:val="00660705"/>
    <w:rsid w:val="0067393C"/>
    <w:rsid w:val="006E1865"/>
    <w:rsid w:val="007047C3"/>
    <w:rsid w:val="007076EA"/>
    <w:rsid w:val="00714CF0"/>
    <w:rsid w:val="007263C0"/>
    <w:rsid w:val="00730C7E"/>
    <w:rsid w:val="0074048B"/>
    <w:rsid w:val="00742548"/>
    <w:rsid w:val="007523A3"/>
    <w:rsid w:val="00786DCA"/>
    <w:rsid w:val="007B52ED"/>
    <w:rsid w:val="007B7837"/>
    <w:rsid w:val="007D07D5"/>
    <w:rsid w:val="007E02D1"/>
    <w:rsid w:val="007F07C2"/>
    <w:rsid w:val="00802C37"/>
    <w:rsid w:val="00804731"/>
    <w:rsid w:val="00817C5C"/>
    <w:rsid w:val="008320CB"/>
    <w:rsid w:val="008753D9"/>
    <w:rsid w:val="00887480"/>
    <w:rsid w:val="00897634"/>
    <w:rsid w:val="008C10BF"/>
    <w:rsid w:val="008C4E62"/>
    <w:rsid w:val="008C6620"/>
    <w:rsid w:val="008D6673"/>
    <w:rsid w:val="008F01B7"/>
    <w:rsid w:val="008F29B1"/>
    <w:rsid w:val="008F5E33"/>
    <w:rsid w:val="009069FC"/>
    <w:rsid w:val="00932F11"/>
    <w:rsid w:val="009513A3"/>
    <w:rsid w:val="0095407E"/>
    <w:rsid w:val="009B2DC3"/>
    <w:rsid w:val="009B51C0"/>
    <w:rsid w:val="009C0AC5"/>
    <w:rsid w:val="009D515B"/>
    <w:rsid w:val="009E08CA"/>
    <w:rsid w:val="009E3478"/>
    <w:rsid w:val="00A00C92"/>
    <w:rsid w:val="00A02702"/>
    <w:rsid w:val="00A116A9"/>
    <w:rsid w:val="00A176E7"/>
    <w:rsid w:val="00A20B2E"/>
    <w:rsid w:val="00A37FD4"/>
    <w:rsid w:val="00A44A13"/>
    <w:rsid w:val="00A54389"/>
    <w:rsid w:val="00A930C2"/>
    <w:rsid w:val="00A93275"/>
    <w:rsid w:val="00A96CA2"/>
    <w:rsid w:val="00AA0D95"/>
    <w:rsid w:val="00AA3D0C"/>
    <w:rsid w:val="00AA5A42"/>
    <w:rsid w:val="00AA7515"/>
    <w:rsid w:val="00B06FDD"/>
    <w:rsid w:val="00B35934"/>
    <w:rsid w:val="00B55141"/>
    <w:rsid w:val="00B57A67"/>
    <w:rsid w:val="00B76999"/>
    <w:rsid w:val="00B9292C"/>
    <w:rsid w:val="00B96BDA"/>
    <w:rsid w:val="00BA1786"/>
    <w:rsid w:val="00BA2955"/>
    <w:rsid w:val="00BC27AE"/>
    <w:rsid w:val="00BC36E4"/>
    <w:rsid w:val="00BC7139"/>
    <w:rsid w:val="00BD568B"/>
    <w:rsid w:val="00BF597B"/>
    <w:rsid w:val="00C3631F"/>
    <w:rsid w:val="00C36A9A"/>
    <w:rsid w:val="00C470E1"/>
    <w:rsid w:val="00C51DDB"/>
    <w:rsid w:val="00C53590"/>
    <w:rsid w:val="00C62FC3"/>
    <w:rsid w:val="00C81CF1"/>
    <w:rsid w:val="00C83A12"/>
    <w:rsid w:val="00C85DB3"/>
    <w:rsid w:val="00C91E18"/>
    <w:rsid w:val="00C930E7"/>
    <w:rsid w:val="00CB340F"/>
    <w:rsid w:val="00CE2313"/>
    <w:rsid w:val="00D00140"/>
    <w:rsid w:val="00D14EBD"/>
    <w:rsid w:val="00D267E2"/>
    <w:rsid w:val="00D33410"/>
    <w:rsid w:val="00D51AD1"/>
    <w:rsid w:val="00D51F70"/>
    <w:rsid w:val="00D6189D"/>
    <w:rsid w:val="00D72B9E"/>
    <w:rsid w:val="00DD18B6"/>
    <w:rsid w:val="00DD7179"/>
    <w:rsid w:val="00E001EB"/>
    <w:rsid w:val="00E011D7"/>
    <w:rsid w:val="00E1548D"/>
    <w:rsid w:val="00E24DA4"/>
    <w:rsid w:val="00E43624"/>
    <w:rsid w:val="00E616CB"/>
    <w:rsid w:val="00EA74A7"/>
    <w:rsid w:val="00EB2478"/>
    <w:rsid w:val="00ED26BF"/>
    <w:rsid w:val="00EE218D"/>
    <w:rsid w:val="00EE79D9"/>
    <w:rsid w:val="00F00CAD"/>
    <w:rsid w:val="00F0368D"/>
    <w:rsid w:val="00F04165"/>
    <w:rsid w:val="00F154D0"/>
    <w:rsid w:val="00F26666"/>
    <w:rsid w:val="00F479D7"/>
    <w:rsid w:val="00F6718E"/>
    <w:rsid w:val="00F71E57"/>
    <w:rsid w:val="00F74920"/>
    <w:rsid w:val="00F83C81"/>
    <w:rsid w:val="00FD0803"/>
    <w:rsid w:val="00FD3246"/>
    <w:rsid w:val="00FF71C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CA292"/>
  <w15:chartTrackingRefBased/>
  <w15:docId w15:val="{92D9F484-93D9-46A2-9C16-3C3DD844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C2"/>
    <w:rPr>
      <w:lang w:val="en-US"/>
    </w:rPr>
  </w:style>
  <w:style w:type="paragraph" w:styleId="Ttulo4">
    <w:name w:val="heading 4"/>
    <w:basedOn w:val="Normal"/>
    <w:link w:val="Ttulo4Car"/>
    <w:uiPriority w:val="9"/>
    <w:qFormat/>
    <w:rsid w:val="003A7C95"/>
    <w:pPr>
      <w:spacing w:before="100" w:beforeAutospacing="1" w:after="100" w:afterAutospacing="1" w:line="240" w:lineRule="auto"/>
      <w:outlineLvl w:val="3"/>
    </w:pPr>
    <w:rPr>
      <w:rFonts w:ascii="Times New Roman" w:eastAsia="Times New Roman" w:hAnsi="Times New Roman" w:cs="Times New Roman"/>
      <w:b/>
      <w:bCs/>
      <w:sz w:val="24"/>
      <w:szCs w:val="24"/>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07C2"/>
    <w:pPr>
      <w:spacing w:after="0" w:line="240" w:lineRule="auto"/>
    </w:pPr>
  </w:style>
  <w:style w:type="paragraph" w:styleId="Encabezado">
    <w:name w:val="header"/>
    <w:basedOn w:val="Normal"/>
    <w:link w:val="EncabezadoCar"/>
    <w:uiPriority w:val="99"/>
    <w:unhideWhenUsed/>
    <w:rsid w:val="00AA0D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D95"/>
    <w:rPr>
      <w:lang w:val="en-US"/>
    </w:rPr>
  </w:style>
  <w:style w:type="paragraph" w:styleId="Piedepgina">
    <w:name w:val="footer"/>
    <w:basedOn w:val="Normal"/>
    <w:link w:val="PiedepginaCar"/>
    <w:uiPriority w:val="99"/>
    <w:unhideWhenUsed/>
    <w:rsid w:val="00AA0D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D95"/>
    <w:rPr>
      <w:lang w:val="en-US"/>
    </w:rPr>
  </w:style>
  <w:style w:type="character" w:styleId="Hipervnculo">
    <w:name w:val="Hyperlink"/>
    <w:basedOn w:val="Fuentedeprrafopredeter"/>
    <w:uiPriority w:val="99"/>
    <w:unhideWhenUsed/>
    <w:rsid w:val="00E24DA4"/>
    <w:rPr>
      <w:color w:val="0563C1" w:themeColor="hyperlink"/>
      <w:u w:val="single"/>
    </w:rPr>
  </w:style>
  <w:style w:type="character" w:customStyle="1" w:styleId="Mencinsinresolver1">
    <w:name w:val="Mención sin resolver1"/>
    <w:basedOn w:val="Fuentedeprrafopredeter"/>
    <w:uiPriority w:val="99"/>
    <w:semiHidden/>
    <w:unhideWhenUsed/>
    <w:rsid w:val="00E24DA4"/>
    <w:rPr>
      <w:color w:val="605E5C"/>
      <w:shd w:val="clear" w:color="auto" w:fill="E1DFDD"/>
    </w:rPr>
  </w:style>
  <w:style w:type="character" w:customStyle="1" w:styleId="Ttulo4Car">
    <w:name w:val="Título 4 Car"/>
    <w:basedOn w:val="Fuentedeprrafopredeter"/>
    <w:link w:val="Ttulo4"/>
    <w:uiPriority w:val="9"/>
    <w:rsid w:val="003A7C95"/>
    <w:rPr>
      <w:rFonts w:ascii="Times New Roman" w:eastAsia="Times New Roman" w:hAnsi="Times New Roman" w:cs="Times New Roman"/>
      <w:b/>
      <w:bCs/>
      <w:sz w:val="24"/>
      <w:szCs w:val="24"/>
      <w:lang w:eastAsia="es-HN"/>
    </w:rPr>
  </w:style>
  <w:style w:type="paragraph" w:customStyle="1" w:styleId="Default">
    <w:name w:val="Default"/>
    <w:rsid w:val="005F6B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6120">
      <w:bodyDiv w:val="1"/>
      <w:marLeft w:val="0"/>
      <w:marRight w:val="0"/>
      <w:marTop w:val="0"/>
      <w:marBottom w:val="0"/>
      <w:divBdr>
        <w:top w:val="none" w:sz="0" w:space="0" w:color="auto"/>
        <w:left w:val="none" w:sz="0" w:space="0" w:color="auto"/>
        <w:bottom w:val="none" w:sz="0" w:space="0" w:color="auto"/>
        <w:right w:val="none" w:sz="0" w:space="0" w:color="auto"/>
      </w:divBdr>
    </w:div>
    <w:div w:id="289021386">
      <w:bodyDiv w:val="1"/>
      <w:marLeft w:val="0"/>
      <w:marRight w:val="0"/>
      <w:marTop w:val="0"/>
      <w:marBottom w:val="0"/>
      <w:divBdr>
        <w:top w:val="none" w:sz="0" w:space="0" w:color="auto"/>
        <w:left w:val="none" w:sz="0" w:space="0" w:color="auto"/>
        <w:bottom w:val="none" w:sz="0" w:space="0" w:color="auto"/>
        <w:right w:val="none" w:sz="0" w:space="0" w:color="auto"/>
      </w:divBdr>
    </w:div>
    <w:div w:id="1291860236">
      <w:bodyDiv w:val="1"/>
      <w:marLeft w:val="0"/>
      <w:marRight w:val="0"/>
      <w:marTop w:val="0"/>
      <w:marBottom w:val="0"/>
      <w:divBdr>
        <w:top w:val="none" w:sz="0" w:space="0" w:color="auto"/>
        <w:left w:val="none" w:sz="0" w:space="0" w:color="auto"/>
        <w:bottom w:val="none" w:sz="0" w:space="0" w:color="auto"/>
        <w:right w:val="none" w:sz="0" w:space="0" w:color="auto"/>
      </w:divBdr>
    </w:div>
    <w:div w:id="1314918720">
      <w:bodyDiv w:val="1"/>
      <w:marLeft w:val="0"/>
      <w:marRight w:val="0"/>
      <w:marTop w:val="0"/>
      <w:marBottom w:val="0"/>
      <w:divBdr>
        <w:top w:val="none" w:sz="0" w:space="0" w:color="auto"/>
        <w:left w:val="none" w:sz="0" w:space="0" w:color="auto"/>
        <w:bottom w:val="none" w:sz="0" w:space="0" w:color="auto"/>
        <w:right w:val="none" w:sz="0" w:space="0" w:color="auto"/>
      </w:divBdr>
    </w:div>
    <w:div w:id="1599098334">
      <w:bodyDiv w:val="1"/>
      <w:marLeft w:val="0"/>
      <w:marRight w:val="0"/>
      <w:marTop w:val="0"/>
      <w:marBottom w:val="0"/>
      <w:divBdr>
        <w:top w:val="none" w:sz="0" w:space="0" w:color="auto"/>
        <w:left w:val="none" w:sz="0" w:space="0" w:color="auto"/>
        <w:bottom w:val="none" w:sz="0" w:space="0" w:color="auto"/>
        <w:right w:val="none" w:sz="0" w:space="0" w:color="auto"/>
      </w:divBdr>
    </w:div>
    <w:div w:id="16762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Soriano</dc:creator>
  <cp:keywords/>
  <dc:description/>
  <cp:lastModifiedBy>Kristian Soriano</cp:lastModifiedBy>
  <cp:revision>123</cp:revision>
  <dcterms:created xsi:type="dcterms:W3CDTF">2022-05-20T02:43:00Z</dcterms:created>
  <dcterms:modified xsi:type="dcterms:W3CDTF">2023-12-21T16:28:00Z</dcterms:modified>
</cp:coreProperties>
</file>