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A2" w:rsidRDefault="009762F7" w:rsidP="00810EFF">
      <w:pPr>
        <w:jc w:val="center"/>
        <w:rPr>
          <w:b/>
        </w:rPr>
      </w:pPr>
      <w:r>
        <w:rPr>
          <w:noProof/>
          <w:lang w:val="es-HN" w:eastAsia="es-HN"/>
        </w:rPr>
        <w:drawing>
          <wp:anchor distT="0" distB="0" distL="114300" distR="114300" simplePos="0" relativeHeight="251659264" behindDoc="1" locked="0" layoutInCell="1" allowOverlap="1" wp14:anchorId="39A82BAB" wp14:editId="03A011EC">
            <wp:simplePos x="0" y="0"/>
            <wp:positionH relativeFrom="column">
              <wp:posOffset>2542540</wp:posOffset>
            </wp:positionH>
            <wp:positionV relativeFrom="paragraph">
              <wp:posOffset>-61595</wp:posOffset>
            </wp:positionV>
            <wp:extent cx="3170555" cy="741045"/>
            <wp:effectExtent l="0" t="0" r="0" b="1905"/>
            <wp:wrapTight wrapText="bothSides">
              <wp:wrapPolygon edited="0">
                <wp:start x="0" y="0"/>
                <wp:lineTo x="0" y="21100"/>
                <wp:lineTo x="21414" y="21100"/>
                <wp:lineTo x="214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458" t="40378" r="18100" b="33183"/>
                    <a:stretch/>
                  </pic:blipFill>
                  <pic:spPr bwMode="auto">
                    <a:xfrm>
                      <a:off x="0" y="0"/>
                      <a:ext cx="3170555"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17A2" w:rsidRDefault="001D17A2" w:rsidP="00810EFF">
      <w:pPr>
        <w:jc w:val="center"/>
        <w:rPr>
          <w:b/>
        </w:rPr>
      </w:pPr>
    </w:p>
    <w:p w:rsidR="00810EFF" w:rsidRDefault="00810EFF" w:rsidP="00810EFF">
      <w:pPr>
        <w:jc w:val="center"/>
        <w:rPr>
          <w:b/>
        </w:rPr>
      </w:pPr>
    </w:p>
    <w:p w:rsidR="0005682B" w:rsidRPr="008F260D" w:rsidRDefault="0005682B" w:rsidP="008F260D">
      <w:pPr>
        <w:jc w:val="center"/>
      </w:pPr>
      <w:r>
        <w:rPr>
          <w:b/>
        </w:rPr>
        <w:t>AVANCES CUMPLIMIENTO INDICADORES PAPSFOR</w:t>
      </w:r>
    </w:p>
    <w:p w:rsidR="0005682B" w:rsidRDefault="0005682B" w:rsidP="0005682B">
      <w:pPr>
        <w:spacing w:after="0" w:line="264" w:lineRule="auto"/>
        <w:jc w:val="center"/>
        <w:rPr>
          <w:b/>
        </w:rPr>
      </w:pPr>
    </w:p>
    <w:tbl>
      <w:tblPr>
        <w:tblStyle w:val="Tablaconcuadrcula"/>
        <w:tblW w:w="13385" w:type="dxa"/>
        <w:tblLook w:val="04A0" w:firstRow="1" w:lastRow="0" w:firstColumn="1" w:lastColumn="0" w:noHBand="0" w:noVBand="1"/>
      </w:tblPr>
      <w:tblGrid>
        <w:gridCol w:w="2114"/>
        <w:gridCol w:w="2434"/>
        <w:gridCol w:w="1860"/>
        <w:gridCol w:w="1861"/>
        <w:gridCol w:w="1718"/>
        <w:gridCol w:w="1574"/>
        <w:gridCol w:w="1824"/>
      </w:tblGrid>
      <w:tr w:rsidR="0005682B" w:rsidRPr="00FF46AA" w:rsidTr="007339B6">
        <w:trPr>
          <w:trHeight w:val="1037"/>
        </w:trPr>
        <w:tc>
          <w:tcPr>
            <w:tcW w:w="4548" w:type="dxa"/>
            <w:gridSpan w:val="2"/>
            <w:vAlign w:val="center"/>
          </w:tcPr>
          <w:p w:rsidR="0005682B" w:rsidRPr="00FF46AA" w:rsidRDefault="0005682B" w:rsidP="000C2FDE">
            <w:pPr>
              <w:spacing w:line="264" w:lineRule="auto"/>
              <w:jc w:val="center"/>
              <w:rPr>
                <w:rFonts w:cstheme="minorHAnsi"/>
                <w:b/>
              </w:rPr>
            </w:pPr>
            <w:r w:rsidRPr="00FF46AA">
              <w:rPr>
                <w:rFonts w:cstheme="minorHAnsi"/>
                <w:b/>
              </w:rPr>
              <w:t>Descripción del Indicador</w:t>
            </w:r>
          </w:p>
        </w:tc>
        <w:tc>
          <w:tcPr>
            <w:tcW w:w="1860" w:type="dxa"/>
            <w:vAlign w:val="center"/>
          </w:tcPr>
          <w:p w:rsidR="0005682B" w:rsidRPr="00FF46AA" w:rsidRDefault="0005682B" w:rsidP="000C2FDE">
            <w:pPr>
              <w:spacing w:line="264" w:lineRule="auto"/>
              <w:jc w:val="center"/>
              <w:rPr>
                <w:rFonts w:cstheme="minorHAnsi"/>
                <w:b/>
              </w:rPr>
            </w:pPr>
            <w:r w:rsidRPr="00FF46AA">
              <w:rPr>
                <w:rFonts w:cstheme="minorHAnsi"/>
                <w:b/>
              </w:rPr>
              <w:t>Meta</w:t>
            </w:r>
          </w:p>
          <w:p w:rsidR="0005682B" w:rsidRPr="00FF46AA" w:rsidRDefault="0005682B" w:rsidP="000C2FDE">
            <w:pPr>
              <w:spacing w:line="264" w:lineRule="auto"/>
              <w:jc w:val="center"/>
              <w:rPr>
                <w:rFonts w:cstheme="minorHAnsi"/>
                <w:b/>
              </w:rPr>
            </w:pPr>
            <w:r w:rsidRPr="00FF46AA">
              <w:rPr>
                <w:rFonts w:cstheme="minorHAnsi"/>
                <w:b/>
              </w:rPr>
              <w:t>Anual</w:t>
            </w:r>
          </w:p>
        </w:tc>
        <w:tc>
          <w:tcPr>
            <w:tcW w:w="1861" w:type="dxa"/>
            <w:vAlign w:val="center"/>
          </w:tcPr>
          <w:p w:rsidR="0005682B" w:rsidRPr="00FF46AA" w:rsidRDefault="0005682B" w:rsidP="000C2FDE">
            <w:pPr>
              <w:spacing w:line="264" w:lineRule="auto"/>
              <w:jc w:val="center"/>
              <w:rPr>
                <w:rFonts w:cstheme="minorHAnsi"/>
                <w:b/>
              </w:rPr>
            </w:pPr>
            <w:r w:rsidRPr="00FF46AA">
              <w:rPr>
                <w:rFonts w:cstheme="minorHAnsi"/>
                <w:b/>
              </w:rPr>
              <w:t>Programado I</w:t>
            </w:r>
            <w:r w:rsidR="00652C1B">
              <w:rPr>
                <w:rFonts w:cstheme="minorHAnsi"/>
                <w:b/>
              </w:rPr>
              <w:t>V</w:t>
            </w:r>
          </w:p>
          <w:p w:rsidR="0005682B" w:rsidRPr="00FF46AA" w:rsidRDefault="0005682B" w:rsidP="000C2FDE">
            <w:pPr>
              <w:spacing w:line="264" w:lineRule="auto"/>
              <w:jc w:val="center"/>
              <w:rPr>
                <w:rFonts w:cstheme="minorHAnsi"/>
                <w:b/>
              </w:rPr>
            </w:pPr>
            <w:r w:rsidRPr="00FF46AA">
              <w:rPr>
                <w:rFonts w:cstheme="minorHAnsi"/>
                <w:b/>
              </w:rPr>
              <w:t>Trimestre</w:t>
            </w:r>
          </w:p>
        </w:tc>
        <w:tc>
          <w:tcPr>
            <w:tcW w:w="1718" w:type="dxa"/>
            <w:vAlign w:val="center"/>
          </w:tcPr>
          <w:p w:rsidR="0005682B" w:rsidRPr="00FF46AA" w:rsidRDefault="0005682B" w:rsidP="000C2FDE">
            <w:pPr>
              <w:spacing w:line="264" w:lineRule="auto"/>
              <w:jc w:val="center"/>
              <w:rPr>
                <w:rFonts w:cstheme="minorHAnsi"/>
                <w:b/>
              </w:rPr>
            </w:pPr>
            <w:r w:rsidRPr="00FF46AA">
              <w:rPr>
                <w:rFonts w:cstheme="minorHAnsi"/>
                <w:b/>
              </w:rPr>
              <w:t xml:space="preserve">Ejecutado </w:t>
            </w:r>
            <w:r w:rsidR="00652C1B">
              <w:rPr>
                <w:rFonts w:cstheme="minorHAnsi"/>
                <w:b/>
              </w:rPr>
              <w:t>IV</w:t>
            </w:r>
          </w:p>
          <w:p w:rsidR="0005682B" w:rsidRPr="00FF46AA" w:rsidRDefault="0005682B" w:rsidP="000C2FDE">
            <w:pPr>
              <w:spacing w:line="264" w:lineRule="auto"/>
              <w:jc w:val="center"/>
              <w:rPr>
                <w:rFonts w:cstheme="minorHAnsi"/>
                <w:b/>
              </w:rPr>
            </w:pPr>
            <w:r w:rsidRPr="00FF46AA">
              <w:rPr>
                <w:rFonts w:cstheme="minorHAnsi"/>
                <w:b/>
              </w:rPr>
              <w:t>Trimestre</w:t>
            </w:r>
          </w:p>
        </w:tc>
        <w:tc>
          <w:tcPr>
            <w:tcW w:w="1574" w:type="dxa"/>
            <w:vAlign w:val="center"/>
          </w:tcPr>
          <w:p w:rsidR="0005682B" w:rsidRPr="00FF46AA" w:rsidRDefault="0005682B" w:rsidP="000C2FDE">
            <w:pPr>
              <w:spacing w:line="264" w:lineRule="auto"/>
              <w:jc w:val="center"/>
              <w:rPr>
                <w:rFonts w:cstheme="minorHAnsi"/>
                <w:b/>
              </w:rPr>
            </w:pPr>
            <w:r w:rsidRPr="00FF46AA">
              <w:rPr>
                <w:rFonts w:cstheme="minorHAnsi"/>
                <w:b/>
              </w:rPr>
              <w:t>Total Acumulado</w:t>
            </w:r>
          </w:p>
        </w:tc>
        <w:tc>
          <w:tcPr>
            <w:tcW w:w="1824" w:type="dxa"/>
            <w:vAlign w:val="center"/>
          </w:tcPr>
          <w:p w:rsidR="0005682B" w:rsidRPr="00FF46AA" w:rsidRDefault="00315AD1" w:rsidP="000C2FDE">
            <w:pPr>
              <w:spacing w:line="264" w:lineRule="auto"/>
              <w:jc w:val="center"/>
              <w:rPr>
                <w:rFonts w:cstheme="minorHAnsi"/>
                <w:b/>
              </w:rPr>
            </w:pPr>
            <w:r w:rsidRPr="00315AD1">
              <w:rPr>
                <w:rFonts w:cstheme="minorHAnsi"/>
                <w:b/>
              </w:rPr>
              <w:t>Pendiente de ejecutar meta anual</w:t>
            </w:r>
          </w:p>
        </w:tc>
      </w:tr>
      <w:tr w:rsidR="0005682B" w:rsidRPr="00FF46AA" w:rsidTr="00652C1B">
        <w:trPr>
          <w:trHeight w:val="992"/>
        </w:trPr>
        <w:tc>
          <w:tcPr>
            <w:tcW w:w="4548" w:type="dxa"/>
            <w:gridSpan w:val="2"/>
          </w:tcPr>
          <w:p w:rsidR="00FF46AA" w:rsidRPr="00FF46AA" w:rsidRDefault="00FF46AA" w:rsidP="00FF46AA">
            <w:pPr>
              <w:tabs>
                <w:tab w:val="left" w:pos="2805"/>
              </w:tabs>
              <w:jc w:val="both"/>
              <w:rPr>
                <w:rFonts w:cstheme="minorHAnsi"/>
                <w:b/>
              </w:rPr>
            </w:pPr>
            <w:r w:rsidRPr="00FF46AA">
              <w:rPr>
                <w:rFonts w:cstheme="minorHAnsi"/>
                <w:b/>
              </w:rPr>
              <w:t>Indicador 7:</w:t>
            </w:r>
          </w:p>
          <w:p w:rsidR="0005682B" w:rsidRPr="00FF46AA" w:rsidRDefault="0005682B" w:rsidP="008F260D">
            <w:pPr>
              <w:tabs>
                <w:tab w:val="left" w:pos="2805"/>
              </w:tabs>
              <w:jc w:val="both"/>
              <w:rPr>
                <w:rFonts w:cstheme="minorHAnsi"/>
                <w:b/>
              </w:rPr>
            </w:pPr>
            <w:r w:rsidRPr="00FF46AA">
              <w:rPr>
                <w:rFonts w:cstheme="minorHAnsi"/>
                <w:b/>
              </w:rPr>
              <w:t>Eficacia en trámites para la aprobación de planes de manejo forestal</w:t>
            </w:r>
            <w:r w:rsidR="00315AD1">
              <w:rPr>
                <w:rFonts w:cstheme="minorHAnsi"/>
                <w:b/>
              </w:rPr>
              <w:t>.</w:t>
            </w:r>
          </w:p>
        </w:tc>
        <w:tc>
          <w:tcPr>
            <w:tcW w:w="1860" w:type="dxa"/>
            <w:vAlign w:val="center"/>
          </w:tcPr>
          <w:p w:rsidR="0005682B" w:rsidRPr="005F7F78" w:rsidRDefault="00FF46AA" w:rsidP="00652C1B">
            <w:pPr>
              <w:tabs>
                <w:tab w:val="left" w:pos="2805"/>
              </w:tabs>
              <w:jc w:val="center"/>
              <w:rPr>
                <w:rFonts w:cstheme="minorHAnsi"/>
                <w:b/>
              </w:rPr>
            </w:pPr>
            <w:r w:rsidRPr="005F7F78">
              <w:rPr>
                <w:rFonts w:cstheme="minorHAnsi"/>
                <w:b/>
              </w:rPr>
              <w:t>D</w:t>
            </w:r>
            <w:r w:rsidR="0005682B" w:rsidRPr="005F7F78">
              <w:rPr>
                <w:rFonts w:cstheme="minorHAnsi"/>
                <w:b/>
              </w:rPr>
              <w:t>ías</w:t>
            </w:r>
          </w:p>
        </w:tc>
        <w:tc>
          <w:tcPr>
            <w:tcW w:w="1861" w:type="dxa"/>
            <w:vAlign w:val="center"/>
          </w:tcPr>
          <w:p w:rsidR="0005682B" w:rsidRPr="005F7F78" w:rsidRDefault="00652C1B" w:rsidP="00652C1B">
            <w:pPr>
              <w:tabs>
                <w:tab w:val="left" w:pos="2805"/>
              </w:tabs>
              <w:jc w:val="center"/>
              <w:rPr>
                <w:rFonts w:cstheme="minorHAnsi"/>
                <w:b/>
              </w:rPr>
            </w:pPr>
            <w:r>
              <w:rPr>
                <w:rFonts w:cstheme="minorHAnsi"/>
                <w:b/>
              </w:rPr>
              <w:t>80</w:t>
            </w:r>
          </w:p>
        </w:tc>
        <w:tc>
          <w:tcPr>
            <w:tcW w:w="1718" w:type="dxa"/>
            <w:vAlign w:val="center"/>
          </w:tcPr>
          <w:p w:rsidR="0005682B" w:rsidRPr="005F7F78" w:rsidRDefault="00652C1B" w:rsidP="00652C1B">
            <w:pPr>
              <w:spacing w:line="264" w:lineRule="auto"/>
              <w:jc w:val="center"/>
              <w:rPr>
                <w:rFonts w:cstheme="minorHAnsi"/>
                <w:b/>
              </w:rPr>
            </w:pPr>
            <w:r>
              <w:rPr>
                <w:rFonts w:cstheme="minorHAnsi"/>
                <w:b/>
              </w:rPr>
              <w:t>80</w:t>
            </w:r>
          </w:p>
        </w:tc>
        <w:tc>
          <w:tcPr>
            <w:tcW w:w="1574" w:type="dxa"/>
            <w:vAlign w:val="center"/>
          </w:tcPr>
          <w:p w:rsidR="00652C1B" w:rsidRDefault="00652C1B" w:rsidP="00652C1B">
            <w:pPr>
              <w:tabs>
                <w:tab w:val="left" w:pos="2805"/>
              </w:tabs>
              <w:jc w:val="center"/>
              <w:rPr>
                <w:rFonts w:cstheme="minorHAnsi"/>
                <w:b/>
              </w:rPr>
            </w:pPr>
          </w:p>
          <w:p w:rsidR="0005682B" w:rsidRPr="005F7F78" w:rsidRDefault="00652C1B" w:rsidP="00652C1B">
            <w:pPr>
              <w:tabs>
                <w:tab w:val="left" w:pos="2805"/>
              </w:tabs>
              <w:jc w:val="center"/>
              <w:rPr>
                <w:rFonts w:cstheme="minorHAnsi"/>
                <w:b/>
              </w:rPr>
            </w:pPr>
            <w:r>
              <w:rPr>
                <w:rFonts w:cstheme="minorHAnsi"/>
                <w:b/>
              </w:rPr>
              <w:t>8</w:t>
            </w:r>
            <w:r w:rsidR="00810D34" w:rsidRPr="005F7F78">
              <w:rPr>
                <w:rFonts w:cstheme="minorHAnsi"/>
                <w:b/>
              </w:rPr>
              <w:t>0</w:t>
            </w:r>
          </w:p>
          <w:p w:rsidR="0005682B" w:rsidRPr="005F7F78" w:rsidRDefault="0005682B" w:rsidP="00652C1B">
            <w:pPr>
              <w:jc w:val="center"/>
              <w:rPr>
                <w:rFonts w:cstheme="minorHAnsi"/>
                <w:b/>
              </w:rPr>
            </w:pPr>
          </w:p>
        </w:tc>
        <w:tc>
          <w:tcPr>
            <w:tcW w:w="1824" w:type="dxa"/>
            <w:vAlign w:val="center"/>
          </w:tcPr>
          <w:p w:rsidR="0005682B" w:rsidRPr="005F7F78" w:rsidRDefault="00652C1B" w:rsidP="00652C1B">
            <w:pPr>
              <w:tabs>
                <w:tab w:val="left" w:pos="2805"/>
              </w:tabs>
              <w:jc w:val="center"/>
              <w:rPr>
                <w:rFonts w:cstheme="minorHAnsi"/>
                <w:b/>
              </w:rPr>
            </w:pPr>
            <w:r>
              <w:rPr>
                <w:rFonts w:cstheme="minorHAnsi"/>
                <w:b/>
              </w:rPr>
              <w:t>0</w:t>
            </w:r>
          </w:p>
        </w:tc>
      </w:tr>
      <w:tr w:rsidR="0005682B" w:rsidRPr="00FF46AA" w:rsidTr="007339B6">
        <w:trPr>
          <w:trHeight w:val="1153"/>
        </w:trPr>
        <w:tc>
          <w:tcPr>
            <w:tcW w:w="2114" w:type="dxa"/>
          </w:tcPr>
          <w:p w:rsidR="0005682B" w:rsidRPr="00FF46AA" w:rsidRDefault="005F7F78" w:rsidP="0005682B">
            <w:pPr>
              <w:spacing w:line="264" w:lineRule="auto"/>
              <w:rPr>
                <w:rFonts w:cstheme="minorHAnsi"/>
                <w:b/>
              </w:rPr>
            </w:pPr>
            <w:r>
              <w:rPr>
                <w:rFonts w:cstheme="minorHAnsi"/>
                <w:b/>
              </w:rPr>
              <w:t>Avances</w:t>
            </w:r>
            <w:r w:rsidR="0005682B" w:rsidRPr="00FF46AA">
              <w:rPr>
                <w:rFonts w:cstheme="minorHAnsi"/>
                <w:b/>
              </w:rPr>
              <w:t>:</w:t>
            </w:r>
          </w:p>
        </w:tc>
        <w:tc>
          <w:tcPr>
            <w:tcW w:w="11271" w:type="dxa"/>
            <w:gridSpan w:val="6"/>
          </w:tcPr>
          <w:p w:rsidR="00247AF4" w:rsidRPr="00247AF4" w:rsidRDefault="00247AF4" w:rsidP="00247AF4">
            <w:pPr>
              <w:pStyle w:val="Prrafodelista"/>
              <w:numPr>
                <w:ilvl w:val="0"/>
                <w:numId w:val="1"/>
              </w:numPr>
              <w:jc w:val="both"/>
              <w:rPr>
                <w:rFonts w:cstheme="minorHAnsi"/>
              </w:rPr>
            </w:pPr>
            <w:r w:rsidRPr="00247AF4">
              <w:rPr>
                <w:rFonts w:cstheme="minorHAnsi"/>
              </w:rPr>
              <w:t>Actividad 1: Elaborar manuales y procedimientos.</w:t>
            </w:r>
          </w:p>
          <w:p w:rsidR="00247AF4" w:rsidRPr="00247AF4" w:rsidRDefault="00247AF4" w:rsidP="00247AF4">
            <w:pPr>
              <w:pStyle w:val="Prrafodelista"/>
              <w:jc w:val="both"/>
              <w:rPr>
                <w:rFonts w:cstheme="minorHAnsi"/>
              </w:rPr>
            </w:pPr>
            <w:r w:rsidRPr="00247AF4">
              <w:rPr>
                <w:rFonts w:cstheme="minorHAnsi"/>
              </w:rPr>
              <w:t>Ha sido elaborada la primera versión del manual de procedimientos para la aprobación de Planes de Manejo. El documento fue discutido en reunión de trabajo con los Jefes Regionales y Coordinadores de Manejo. Los aportes de las diferentes Regiones serán incorporados al documento borrador y este se publicará en los primeros meses del próximo año.</w:t>
            </w:r>
          </w:p>
          <w:p w:rsidR="00247AF4" w:rsidRPr="00247AF4" w:rsidRDefault="00247AF4" w:rsidP="00247AF4">
            <w:pPr>
              <w:pStyle w:val="Prrafodelista"/>
              <w:numPr>
                <w:ilvl w:val="0"/>
                <w:numId w:val="1"/>
              </w:numPr>
              <w:jc w:val="both"/>
              <w:rPr>
                <w:rFonts w:cstheme="minorHAnsi"/>
              </w:rPr>
            </w:pPr>
            <w:r w:rsidRPr="00247AF4">
              <w:rPr>
                <w:rFonts w:cstheme="minorHAnsi"/>
              </w:rPr>
              <w:t>Actividad 2: Socializar manuales a nivel del ICF y otros actores</w:t>
            </w:r>
          </w:p>
          <w:p w:rsidR="00247AF4" w:rsidRPr="00247AF4" w:rsidRDefault="00247AF4" w:rsidP="00247AF4">
            <w:pPr>
              <w:pStyle w:val="Prrafodelista"/>
              <w:jc w:val="both"/>
              <w:rPr>
                <w:rFonts w:cstheme="minorHAnsi"/>
              </w:rPr>
            </w:pPr>
            <w:r w:rsidRPr="00247AF4">
              <w:rPr>
                <w:rFonts w:cstheme="minorHAnsi"/>
              </w:rPr>
              <w:t>El proceso de socialización de los ajustes al documento or</w:t>
            </w:r>
            <w:bookmarkStart w:id="0" w:name="_GoBack"/>
            <w:bookmarkEnd w:id="0"/>
            <w:r w:rsidRPr="00247AF4">
              <w:rPr>
                <w:rFonts w:cstheme="minorHAnsi"/>
              </w:rPr>
              <w:t xml:space="preserve">iginal será compartido con el equipo del Departamento de manejo y Desarrollo Forestal, una vez que se agreguen las incorporaciones propuestas por los jefes Regionales. </w:t>
            </w:r>
          </w:p>
          <w:p w:rsidR="00247AF4" w:rsidRPr="00247AF4" w:rsidRDefault="00247AF4" w:rsidP="00247AF4">
            <w:pPr>
              <w:pStyle w:val="Prrafodelista"/>
              <w:numPr>
                <w:ilvl w:val="0"/>
                <w:numId w:val="1"/>
              </w:numPr>
              <w:jc w:val="both"/>
              <w:rPr>
                <w:rFonts w:cstheme="minorHAnsi"/>
              </w:rPr>
            </w:pPr>
            <w:r w:rsidRPr="00247AF4">
              <w:rPr>
                <w:rFonts w:cstheme="minorHAnsi"/>
              </w:rPr>
              <w:t>Actividad 3: Revisar normativa legal, administrativa y técnica</w:t>
            </w:r>
          </w:p>
          <w:p w:rsidR="00247AF4" w:rsidRPr="00247AF4" w:rsidRDefault="00247AF4" w:rsidP="00247AF4">
            <w:pPr>
              <w:pStyle w:val="Prrafodelista"/>
              <w:jc w:val="both"/>
              <w:rPr>
                <w:rFonts w:cstheme="minorHAnsi"/>
              </w:rPr>
            </w:pPr>
            <w:r w:rsidRPr="00247AF4">
              <w:rPr>
                <w:rFonts w:cstheme="minorHAnsi"/>
              </w:rPr>
              <w:t>Se desarrolló la consultoría denominada COMPILACIÓN Y ANÁLISIS  DE LA  NORMATIVA FORESTAL EXISTENTE. En este trabajo también se incorporó el censo de industrias primarias y planteles de venta de madera. Se requiere de la organización de un Taller para la discusión de la normativa técnica que se ha compilado.</w:t>
            </w:r>
          </w:p>
          <w:p w:rsidR="00247AF4" w:rsidRPr="00247AF4" w:rsidRDefault="00247AF4" w:rsidP="00247AF4">
            <w:pPr>
              <w:pStyle w:val="Prrafodelista"/>
              <w:numPr>
                <w:ilvl w:val="0"/>
                <w:numId w:val="1"/>
              </w:numPr>
              <w:jc w:val="both"/>
              <w:rPr>
                <w:rFonts w:cstheme="minorHAnsi"/>
              </w:rPr>
            </w:pPr>
            <w:r w:rsidRPr="00247AF4">
              <w:rPr>
                <w:rFonts w:cstheme="minorHAnsi"/>
              </w:rPr>
              <w:t>Actividad 4: Analizar responsabilidades de las partes.</w:t>
            </w:r>
          </w:p>
          <w:p w:rsidR="00247AF4" w:rsidRPr="00247AF4" w:rsidRDefault="00247AF4" w:rsidP="00247AF4">
            <w:pPr>
              <w:pStyle w:val="Prrafodelista"/>
              <w:jc w:val="both"/>
              <w:rPr>
                <w:rFonts w:cstheme="minorHAnsi"/>
              </w:rPr>
            </w:pPr>
            <w:r w:rsidRPr="00247AF4">
              <w:rPr>
                <w:rFonts w:cstheme="minorHAnsi"/>
              </w:rPr>
              <w:t>En el Manual de procedimientos quedan bien definidas las responsabilidades de la Secretaría General y del Departamento de manejo y Desarrollo Forestal.</w:t>
            </w:r>
          </w:p>
          <w:p w:rsidR="00247AF4" w:rsidRPr="00247AF4" w:rsidRDefault="00247AF4" w:rsidP="00247AF4">
            <w:pPr>
              <w:pStyle w:val="Prrafodelista"/>
              <w:numPr>
                <w:ilvl w:val="0"/>
                <w:numId w:val="1"/>
              </w:numPr>
              <w:jc w:val="both"/>
              <w:rPr>
                <w:rFonts w:cstheme="minorHAnsi"/>
              </w:rPr>
            </w:pPr>
            <w:r w:rsidRPr="00247AF4">
              <w:rPr>
                <w:rFonts w:cstheme="minorHAnsi"/>
              </w:rPr>
              <w:t>Actividad 5: Revisión de informes de consultorías legales</w:t>
            </w:r>
          </w:p>
          <w:p w:rsidR="00247AF4" w:rsidRPr="00247AF4" w:rsidRDefault="00247AF4" w:rsidP="00247AF4">
            <w:pPr>
              <w:pStyle w:val="Prrafodelista"/>
              <w:jc w:val="both"/>
              <w:rPr>
                <w:rFonts w:cstheme="minorHAnsi"/>
              </w:rPr>
            </w:pPr>
            <w:r w:rsidRPr="00247AF4">
              <w:rPr>
                <w:rFonts w:cstheme="minorHAnsi"/>
              </w:rPr>
              <w:lastRenderedPageBreak/>
              <w:t>Los productos de la consultoría de compilación de normativa han sido revisados y con estos productos se organizarán reuniones de trabajo para el próximo año.</w:t>
            </w:r>
          </w:p>
          <w:p w:rsidR="00247AF4" w:rsidRPr="00247AF4" w:rsidRDefault="00247AF4" w:rsidP="00247AF4">
            <w:pPr>
              <w:pStyle w:val="Prrafodelista"/>
              <w:numPr>
                <w:ilvl w:val="0"/>
                <w:numId w:val="1"/>
              </w:numPr>
              <w:jc w:val="both"/>
              <w:rPr>
                <w:rFonts w:cstheme="minorHAnsi"/>
              </w:rPr>
            </w:pPr>
            <w:r w:rsidRPr="00247AF4">
              <w:rPr>
                <w:rFonts w:cstheme="minorHAnsi"/>
              </w:rPr>
              <w:t>Actividad 6: Conducir reuniones y sesiones de trabajo de coordinación</w:t>
            </w:r>
          </w:p>
          <w:p w:rsidR="00247AF4" w:rsidRPr="00247AF4" w:rsidRDefault="00247AF4" w:rsidP="00247AF4">
            <w:pPr>
              <w:pStyle w:val="Prrafodelista"/>
              <w:jc w:val="both"/>
              <w:rPr>
                <w:rFonts w:cstheme="minorHAnsi"/>
              </w:rPr>
            </w:pPr>
            <w:r w:rsidRPr="00247AF4">
              <w:rPr>
                <w:rFonts w:cstheme="minorHAnsi"/>
              </w:rPr>
              <w:t>Se desarrolló el Taller con los Jefes de las Regiones Forestales y coordinadores de manejo en el período del 8 al11 de Diciembre en el cual se abordaron temas diversos vinculados a manejo Forestal.</w:t>
            </w:r>
          </w:p>
          <w:p w:rsidR="00247AF4" w:rsidRPr="00247AF4" w:rsidRDefault="00247AF4" w:rsidP="00247AF4">
            <w:pPr>
              <w:pStyle w:val="Prrafodelista"/>
              <w:numPr>
                <w:ilvl w:val="0"/>
                <w:numId w:val="1"/>
              </w:numPr>
              <w:jc w:val="both"/>
              <w:rPr>
                <w:rFonts w:cstheme="minorHAnsi"/>
              </w:rPr>
            </w:pPr>
            <w:r w:rsidRPr="00247AF4">
              <w:rPr>
                <w:rFonts w:cstheme="minorHAnsi"/>
              </w:rPr>
              <w:t>Actividad 7: Registrar tiempo de trámites en el SNIF</w:t>
            </w:r>
          </w:p>
          <w:p w:rsidR="00247AF4" w:rsidRPr="00247AF4" w:rsidRDefault="00247AF4" w:rsidP="00247AF4">
            <w:pPr>
              <w:pStyle w:val="Prrafodelista"/>
              <w:jc w:val="both"/>
              <w:rPr>
                <w:rFonts w:cstheme="minorHAnsi"/>
              </w:rPr>
            </w:pPr>
            <w:r w:rsidRPr="00247AF4">
              <w:rPr>
                <w:rFonts w:cstheme="minorHAnsi"/>
              </w:rPr>
              <w:t>El monitoreo de los tiempos de aprobación de los planes de manejo es permanente con el uso del Sistema Nacional de Información Forestal (SNIF).</w:t>
            </w:r>
          </w:p>
          <w:p w:rsidR="00247AF4" w:rsidRPr="00247AF4" w:rsidRDefault="00247AF4" w:rsidP="00247AF4">
            <w:pPr>
              <w:pStyle w:val="Prrafodelista"/>
              <w:numPr>
                <w:ilvl w:val="0"/>
                <w:numId w:val="1"/>
              </w:numPr>
              <w:jc w:val="both"/>
              <w:rPr>
                <w:rFonts w:cstheme="minorHAnsi"/>
              </w:rPr>
            </w:pPr>
            <w:r w:rsidRPr="00247AF4">
              <w:rPr>
                <w:rFonts w:cstheme="minorHAnsi"/>
              </w:rPr>
              <w:t>Actividad 8: Preparar informes con tiempos promedio de los trámites de procesamiento de planes de manejo.</w:t>
            </w:r>
          </w:p>
          <w:p w:rsidR="00247AF4" w:rsidRPr="00247AF4" w:rsidRDefault="00247AF4" w:rsidP="00247AF4">
            <w:pPr>
              <w:pStyle w:val="Prrafodelista"/>
              <w:jc w:val="both"/>
              <w:rPr>
                <w:rFonts w:cstheme="minorHAnsi"/>
              </w:rPr>
            </w:pPr>
            <w:r w:rsidRPr="00247AF4">
              <w:rPr>
                <w:rFonts w:cstheme="minorHAnsi"/>
              </w:rPr>
              <w:t>Durante todo el año se elaboraron los informes de los tiempos invertidos en la aprobación de los planes de manejo utilizando la bitácora del Sistema Nacional de Información Forestal. El informe considera el tiempo transcurrido desde el registro de una solicitud en la oficina local hasta la aprobación por la Dirección Ejecutiva.</w:t>
            </w:r>
          </w:p>
          <w:p w:rsidR="00247AF4" w:rsidRPr="00247AF4" w:rsidRDefault="00247AF4" w:rsidP="00247AF4">
            <w:pPr>
              <w:pStyle w:val="Prrafodelista"/>
              <w:numPr>
                <w:ilvl w:val="0"/>
                <w:numId w:val="1"/>
              </w:numPr>
              <w:jc w:val="both"/>
              <w:rPr>
                <w:rFonts w:cstheme="minorHAnsi"/>
              </w:rPr>
            </w:pPr>
            <w:r w:rsidRPr="00247AF4">
              <w:rPr>
                <w:rFonts w:cstheme="minorHAnsi"/>
              </w:rPr>
              <w:t>Actividad 9: Publicar en la página web del ICF</w:t>
            </w:r>
          </w:p>
          <w:p w:rsidR="00B57838" w:rsidRPr="001D17A2" w:rsidRDefault="00247AF4" w:rsidP="00247AF4">
            <w:pPr>
              <w:pStyle w:val="Prrafodelista"/>
              <w:spacing w:after="200" w:line="276" w:lineRule="auto"/>
              <w:jc w:val="both"/>
              <w:rPr>
                <w:rFonts w:cstheme="minorHAnsi"/>
              </w:rPr>
            </w:pPr>
            <w:r w:rsidRPr="00247AF4">
              <w:rPr>
                <w:rFonts w:cstheme="minorHAnsi"/>
              </w:rPr>
              <w:t>Se han elaborado y enviado los informes trimestrales del indicador 7, mismos que son Publicar en la página web del ICF.</w:t>
            </w:r>
          </w:p>
        </w:tc>
      </w:tr>
    </w:tbl>
    <w:p w:rsidR="0005682B" w:rsidRPr="00FF46AA" w:rsidRDefault="0005682B" w:rsidP="00656100">
      <w:pPr>
        <w:tabs>
          <w:tab w:val="left" w:pos="2805"/>
        </w:tabs>
        <w:rPr>
          <w:rFonts w:cstheme="minorHAnsi"/>
        </w:rPr>
      </w:pPr>
    </w:p>
    <w:sectPr w:rsidR="0005682B" w:rsidRPr="00FF46AA" w:rsidSect="0065610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1F" w:rsidRDefault="00D6041F" w:rsidP="000F3362">
      <w:pPr>
        <w:spacing w:after="0" w:line="240" w:lineRule="auto"/>
      </w:pPr>
      <w:r>
        <w:separator/>
      </w:r>
    </w:p>
  </w:endnote>
  <w:endnote w:type="continuationSeparator" w:id="0">
    <w:p w:rsidR="00D6041F" w:rsidRDefault="00D6041F" w:rsidP="000F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1F" w:rsidRDefault="00D6041F" w:rsidP="000F3362">
      <w:pPr>
        <w:spacing w:after="0" w:line="240" w:lineRule="auto"/>
      </w:pPr>
      <w:r>
        <w:separator/>
      </w:r>
    </w:p>
  </w:footnote>
  <w:footnote w:type="continuationSeparator" w:id="0">
    <w:p w:rsidR="00D6041F" w:rsidRDefault="00D6041F" w:rsidP="000F3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074"/>
    <w:multiLevelType w:val="hybridMultilevel"/>
    <w:tmpl w:val="C92C22D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5D"/>
    <w:rsid w:val="00013376"/>
    <w:rsid w:val="000463D2"/>
    <w:rsid w:val="0005682B"/>
    <w:rsid w:val="000668BF"/>
    <w:rsid w:val="000973F9"/>
    <w:rsid w:val="000D3FBE"/>
    <w:rsid w:val="000F3362"/>
    <w:rsid w:val="001C5AE2"/>
    <w:rsid w:val="001D17A2"/>
    <w:rsid w:val="001D2896"/>
    <w:rsid w:val="0020375D"/>
    <w:rsid w:val="00247AF4"/>
    <w:rsid w:val="00280E8F"/>
    <w:rsid w:val="002D03B8"/>
    <w:rsid w:val="00313ABC"/>
    <w:rsid w:val="00315AD1"/>
    <w:rsid w:val="00343D1F"/>
    <w:rsid w:val="003F42BA"/>
    <w:rsid w:val="004657F6"/>
    <w:rsid w:val="00493EEE"/>
    <w:rsid w:val="005A2399"/>
    <w:rsid w:val="005F7F78"/>
    <w:rsid w:val="00625C50"/>
    <w:rsid w:val="0063679E"/>
    <w:rsid w:val="00652C1B"/>
    <w:rsid w:val="00656100"/>
    <w:rsid w:val="006809EE"/>
    <w:rsid w:val="006A2EBF"/>
    <w:rsid w:val="007339B6"/>
    <w:rsid w:val="007B0CA2"/>
    <w:rsid w:val="007C2B0C"/>
    <w:rsid w:val="00810D34"/>
    <w:rsid w:val="00810EFF"/>
    <w:rsid w:val="00833476"/>
    <w:rsid w:val="00847B6A"/>
    <w:rsid w:val="00853C86"/>
    <w:rsid w:val="00876580"/>
    <w:rsid w:val="008F260D"/>
    <w:rsid w:val="00902D78"/>
    <w:rsid w:val="009135A5"/>
    <w:rsid w:val="00933501"/>
    <w:rsid w:val="009418EA"/>
    <w:rsid w:val="00946A12"/>
    <w:rsid w:val="009762F7"/>
    <w:rsid w:val="00B124CA"/>
    <w:rsid w:val="00B57838"/>
    <w:rsid w:val="00BE4610"/>
    <w:rsid w:val="00C455F8"/>
    <w:rsid w:val="00C7327E"/>
    <w:rsid w:val="00CB44FF"/>
    <w:rsid w:val="00CF4050"/>
    <w:rsid w:val="00D6041F"/>
    <w:rsid w:val="00DA018A"/>
    <w:rsid w:val="00DD2375"/>
    <w:rsid w:val="00DE6C4E"/>
    <w:rsid w:val="00E3075F"/>
    <w:rsid w:val="00E310FA"/>
    <w:rsid w:val="00E42797"/>
    <w:rsid w:val="00EB5F03"/>
    <w:rsid w:val="00FE5811"/>
    <w:rsid w:val="00FF46AA"/>
    <w:rsid w:val="00FF6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75D"/>
    <w:rPr>
      <w:rFonts w:ascii="Tahoma" w:hAnsi="Tahoma" w:cs="Tahoma"/>
      <w:sz w:val="16"/>
      <w:szCs w:val="16"/>
    </w:rPr>
  </w:style>
  <w:style w:type="table" w:styleId="Tablaconcuadrcula">
    <w:name w:val="Table Grid"/>
    <w:basedOn w:val="Tablanormal"/>
    <w:uiPriority w:val="59"/>
    <w:rsid w:val="0065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018A"/>
    <w:pPr>
      <w:ind w:left="720"/>
      <w:contextualSpacing/>
    </w:pPr>
  </w:style>
  <w:style w:type="paragraph" w:styleId="Encabezado">
    <w:name w:val="header"/>
    <w:basedOn w:val="Normal"/>
    <w:link w:val="EncabezadoCar"/>
    <w:uiPriority w:val="99"/>
    <w:unhideWhenUsed/>
    <w:rsid w:val="000F3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362"/>
  </w:style>
  <w:style w:type="paragraph" w:styleId="Piedepgina">
    <w:name w:val="footer"/>
    <w:basedOn w:val="Normal"/>
    <w:link w:val="PiedepginaCar"/>
    <w:uiPriority w:val="99"/>
    <w:unhideWhenUsed/>
    <w:rsid w:val="000F3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75D"/>
    <w:rPr>
      <w:rFonts w:ascii="Tahoma" w:hAnsi="Tahoma" w:cs="Tahoma"/>
      <w:sz w:val="16"/>
      <w:szCs w:val="16"/>
    </w:rPr>
  </w:style>
  <w:style w:type="table" w:styleId="Tablaconcuadrcula">
    <w:name w:val="Table Grid"/>
    <w:basedOn w:val="Tablanormal"/>
    <w:uiPriority w:val="59"/>
    <w:rsid w:val="0065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018A"/>
    <w:pPr>
      <w:ind w:left="720"/>
      <w:contextualSpacing/>
    </w:pPr>
  </w:style>
  <w:style w:type="paragraph" w:styleId="Encabezado">
    <w:name w:val="header"/>
    <w:basedOn w:val="Normal"/>
    <w:link w:val="EncabezadoCar"/>
    <w:uiPriority w:val="99"/>
    <w:unhideWhenUsed/>
    <w:rsid w:val="000F3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362"/>
  </w:style>
  <w:style w:type="paragraph" w:styleId="Piedepgina">
    <w:name w:val="footer"/>
    <w:basedOn w:val="Normal"/>
    <w:link w:val="PiedepginaCar"/>
    <w:uiPriority w:val="99"/>
    <w:unhideWhenUsed/>
    <w:rsid w:val="000F3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A611-E27F-4B03-B1A9-706D5468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Jeanny Yolanda JA. Almendares Rodriguez</dc:creator>
  <cp:lastModifiedBy>Carmen Alejandra CG. Garcia Membreño</cp:lastModifiedBy>
  <cp:revision>6</cp:revision>
  <cp:lastPrinted>2015-07-02T16:39:00Z</cp:lastPrinted>
  <dcterms:created xsi:type="dcterms:W3CDTF">2015-10-06T15:29:00Z</dcterms:created>
  <dcterms:modified xsi:type="dcterms:W3CDTF">2016-01-05T21:44:00Z</dcterms:modified>
</cp:coreProperties>
</file>