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2B" w:rsidRPr="008F260D" w:rsidRDefault="000F3362" w:rsidP="008F260D">
      <w:pPr>
        <w:jc w:val="center"/>
      </w:pPr>
      <w:r>
        <w:rPr>
          <w:noProof/>
          <w:lang w:val="es-HN" w:eastAsia="es-HN"/>
        </w:rPr>
        <w:drawing>
          <wp:anchor distT="0" distB="0" distL="114300" distR="114300" simplePos="0" relativeHeight="251659264" behindDoc="1" locked="0" layoutInCell="1" allowOverlap="1" wp14:anchorId="329D3CA0" wp14:editId="552B87FC">
            <wp:simplePos x="0" y="0"/>
            <wp:positionH relativeFrom="column">
              <wp:posOffset>2733675</wp:posOffset>
            </wp:positionH>
            <wp:positionV relativeFrom="paragraph">
              <wp:posOffset>-890905</wp:posOffset>
            </wp:positionV>
            <wp:extent cx="3170555" cy="741045"/>
            <wp:effectExtent l="0" t="0" r="0" b="1905"/>
            <wp:wrapTight wrapText="bothSides">
              <wp:wrapPolygon edited="0">
                <wp:start x="0" y="0"/>
                <wp:lineTo x="0" y="21100"/>
                <wp:lineTo x="21414" y="21100"/>
                <wp:lineTo x="214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458" t="40378" r="18100" b="33183"/>
                    <a:stretch/>
                  </pic:blipFill>
                  <pic:spPr bwMode="auto">
                    <a:xfrm>
                      <a:off x="0" y="0"/>
                      <a:ext cx="3170555"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82B">
        <w:rPr>
          <w:b/>
        </w:rPr>
        <w:t>AVANCES CUMPLIMIENTO INDICADORES PAPSFOR</w:t>
      </w:r>
    </w:p>
    <w:p w:rsidR="0005682B" w:rsidRDefault="0005682B" w:rsidP="0005682B">
      <w:pPr>
        <w:spacing w:after="0" w:line="264" w:lineRule="auto"/>
        <w:jc w:val="center"/>
        <w:rPr>
          <w:b/>
        </w:rPr>
      </w:pPr>
    </w:p>
    <w:tbl>
      <w:tblPr>
        <w:tblStyle w:val="Tablaconcuadrcula"/>
        <w:tblW w:w="13254" w:type="dxa"/>
        <w:tblLook w:val="04A0" w:firstRow="1" w:lastRow="0" w:firstColumn="1" w:lastColumn="0" w:noHBand="0" w:noVBand="1"/>
      </w:tblPr>
      <w:tblGrid>
        <w:gridCol w:w="2093"/>
        <w:gridCol w:w="2410"/>
        <w:gridCol w:w="1842"/>
        <w:gridCol w:w="1843"/>
        <w:gridCol w:w="1701"/>
        <w:gridCol w:w="1559"/>
        <w:gridCol w:w="1806"/>
      </w:tblGrid>
      <w:tr w:rsidR="0005682B" w:rsidRPr="00FF46AA" w:rsidTr="000C2FDE">
        <w:trPr>
          <w:trHeight w:val="879"/>
        </w:trPr>
        <w:tc>
          <w:tcPr>
            <w:tcW w:w="4503" w:type="dxa"/>
            <w:gridSpan w:val="2"/>
            <w:vAlign w:val="center"/>
          </w:tcPr>
          <w:p w:rsidR="0005682B" w:rsidRPr="00FF46AA" w:rsidRDefault="0005682B" w:rsidP="000C2FDE">
            <w:pPr>
              <w:spacing w:line="264" w:lineRule="auto"/>
              <w:jc w:val="center"/>
              <w:rPr>
                <w:rFonts w:cstheme="minorHAnsi"/>
                <w:b/>
              </w:rPr>
            </w:pPr>
            <w:r w:rsidRPr="00FF46AA">
              <w:rPr>
                <w:rFonts w:cstheme="minorHAnsi"/>
                <w:b/>
              </w:rPr>
              <w:t>Descripción del Indicador</w:t>
            </w:r>
          </w:p>
        </w:tc>
        <w:tc>
          <w:tcPr>
            <w:tcW w:w="1842" w:type="dxa"/>
            <w:vAlign w:val="center"/>
          </w:tcPr>
          <w:p w:rsidR="0005682B" w:rsidRPr="00FF46AA" w:rsidRDefault="0005682B" w:rsidP="000C2FDE">
            <w:pPr>
              <w:spacing w:line="264" w:lineRule="auto"/>
              <w:jc w:val="center"/>
              <w:rPr>
                <w:rFonts w:cstheme="minorHAnsi"/>
                <w:b/>
              </w:rPr>
            </w:pPr>
            <w:r w:rsidRPr="00FF46AA">
              <w:rPr>
                <w:rFonts w:cstheme="minorHAnsi"/>
                <w:b/>
              </w:rPr>
              <w:t>Meta</w:t>
            </w:r>
          </w:p>
          <w:p w:rsidR="0005682B" w:rsidRPr="00FF46AA" w:rsidRDefault="0005682B" w:rsidP="000C2FDE">
            <w:pPr>
              <w:spacing w:line="264" w:lineRule="auto"/>
              <w:jc w:val="center"/>
              <w:rPr>
                <w:rFonts w:cstheme="minorHAnsi"/>
                <w:b/>
              </w:rPr>
            </w:pPr>
            <w:r w:rsidRPr="00FF46AA">
              <w:rPr>
                <w:rFonts w:cstheme="minorHAnsi"/>
                <w:b/>
              </w:rPr>
              <w:t>Anual</w:t>
            </w:r>
          </w:p>
        </w:tc>
        <w:tc>
          <w:tcPr>
            <w:tcW w:w="1843" w:type="dxa"/>
            <w:vAlign w:val="center"/>
          </w:tcPr>
          <w:p w:rsidR="0005682B" w:rsidRPr="00FF46AA" w:rsidRDefault="0005682B" w:rsidP="000C2FDE">
            <w:pPr>
              <w:spacing w:line="264" w:lineRule="auto"/>
              <w:jc w:val="center"/>
              <w:rPr>
                <w:rFonts w:cstheme="minorHAnsi"/>
                <w:b/>
              </w:rPr>
            </w:pPr>
            <w:r w:rsidRPr="00FF46AA">
              <w:rPr>
                <w:rFonts w:cstheme="minorHAnsi"/>
                <w:b/>
              </w:rPr>
              <w:t>Programado I</w:t>
            </w:r>
          </w:p>
          <w:p w:rsidR="0005682B" w:rsidRPr="00FF46AA" w:rsidRDefault="0005682B" w:rsidP="000C2FDE">
            <w:pPr>
              <w:spacing w:line="264" w:lineRule="auto"/>
              <w:jc w:val="center"/>
              <w:rPr>
                <w:rFonts w:cstheme="minorHAnsi"/>
                <w:b/>
              </w:rPr>
            </w:pPr>
            <w:r w:rsidRPr="00FF46AA">
              <w:rPr>
                <w:rFonts w:cstheme="minorHAnsi"/>
                <w:b/>
              </w:rPr>
              <w:t>Trimestre</w:t>
            </w:r>
          </w:p>
        </w:tc>
        <w:tc>
          <w:tcPr>
            <w:tcW w:w="1701" w:type="dxa"/>
            <w:vAlign w:val="center"/>
          </w:tcPr>
          <w:p w:rsidR="0005682B" w:rsidRPr="00FF46AA" w:rsidRDefault="0005682B" w:rsidP="000C2FDE">
            <w:pPr>
              <w:spacing w:line="264" w:lineRule="auto"/>
              <w:jc w:val="center"/>
              <w:rPr>
                <w:rFonts w:cstheme="minorHAnsi"/>
                <w:b/>
              </w:rPr>
            </w:pPr>
            <w:r w:rsidRPr="00FF46AA">
              <w:rPr>
                <w:rFonts w:cstheme="minorHAnsi"/>
                <w:b/>
              </w:rPr>
              <w:t>Ejecutado I</w:t>
            </w:r>
          </w:p>
          <w:p w:rsidR="0005682B" w:rsidRPr="00FF46AA" w:rsidRDefault="0005682B" w:rsidP="000C2FDE">
            <w:pPr>
              <w:spacing w:line="264" w:lineRule="auto"/>
              <w:jc w:val="center"/>
              <w:rPr>
                <w:rFonts w:cstheme="minorHAnsi"/>
                <w:b/>
              </w:rPr>
            </w:pPr>
            <w:r w:rsidRPr="00FF46AA">
              <w:rPr>
                <w:rFonts w:cstheme="minorHAnsi"/>
                <w:b/>
              </w:rPr>
              <w:t>Trimestre</w:t>
            </w:r>
          </w:p>
        </w:tc>
        <w:tc>
          <w:tcPr>
            <w:tcW w:w="1559" w:type="dxa"/>
            <w:vAlign w:val="center"/>
          </w:tcPr>
          <w:p w:rsidR="0005682B" w:rsidRPr="00FF46AA" w:rsidRDefault="0005682B" w:rsidP="000C2FDE">
            <w:pPr>
              <w:spacing w:line="264" w:lineRule="auto"/>
              <w:jc w:val="center"/>
              <w:rPr>
                <w:rFonts w:cstheme="minorHAnsi"/>
                <w:b/>
              </w:rPr>
            </w:pPr>
            <w:r w:rsidRPr="00FF46AA">
              <w:rPr>
                <w:rFonts w:cstheme="minorHAnsi"/>
                <w:b/>
              </w:rPr>
              <w:t>Total Acumulado</w:t>
            </w:r>
          </w:p>
        </w:tc>
        <w:tc>
          <w:tcPr>
            <w:tcW w:w="1806" w:type="dxa"/>
            <w:vAlign w:val="center"/>
          </w:tcPr>
          <w:p w:rsidR="0005682B" w:rsidRPr="00FF46AA" w:rsidRDefault="00315AD1" w:rsidP="000C2FDE">
            <w:pPr>
              <w:spacing w:line="264" w:lineRule="auto"/>
              <w:jc w:val="center"/>
              <w:rPr>
                <w:rFonts w:cstheme="minorHAnsi"/>
                <w:b/>
              </w:rPr>
            </w:pPr>
            <w:r w:rsidRPr="00315AD1">
              <w:rPr>
                <w:rFonts w:cstheme="minorHAnsi"/>
                <w:b/>
              </w:rPr>
              <w:t>Pendiente de ejecutar meta anual</w:t>
            </w:r>
          </w:p>
        </w:tc>
      </w:tr>
      <w:tr w:rsidR="0005682B" w:rsidRPr="00FF46AA" w:rsidTr="008F260D">
        <w:trPr>
          <w:trHeight w:val="841"/>
        </w:trPr>
        <w:tc>
          <w:tcPr>
            <w:tcW w:w="4503" w:type="dxa"/>
            <w:gridSpan w:val="2"/>
          </w:tcPr>
          <w:p w:rsidR="00FF46AA" w:rsidRPr="00FF46AA" w:rsidRDefault="00FF46AA" w:rsidP="00FF46AA">
            <w:pPr>
              <w:tabs>
                <w:tab w:val="left" w:pos="2805"/>
              </w:tabs>
              <w:jc w:val="both"/>
              <w:rPr>
                <w:rFonts w:cstheme="minorHAnsi"/>
                <w:b/>
              </w:rPr>
            </w:pPr>
            <w:r w:rsidRPr="00FF46AA">
              <w:rPr>
                <w:rFonts w:cstheme="minorHAnsi"/>
                <w:b/>
              </w:rPr>
              <w:t>Indicador 7:</w:t>
            </w:r>
          </w:p>
          <w:p w:rsidR="0005682B" w:rsidRPr="00FF46AA" w:rsidRDefault="0005682B" w:rsidP="008F260D">
            <w:pPr>
              <w:tabs>
                <w:tab w:val="left" w:pos="2805"/>
              </w:tabs>
              <w:jc w:val="both"/>
              <w:rPr>
                <w:rFonts w:cstheme="minorHAnsi"/>
                <w:b/>
              </w:rPr>
            </w:pPr>
            <w:r w:rsidRPr="00FF46AA">
              <w:rPr>
                <w:rFonts w:cstheme="minorHAnsi"/>
                <w:b/>
              </w:rPr>
              <w:t>Eficacia en trámites para la aprobación de planes de manejo forestal</w:t>
            </w:r>
            <w:r w:rsidR="00315AD1">
              <w:rPr>
                <w:rFonts w:cstheme="minorHAnsi"/>
                <w:b/>
              </w:rPr>
              <w:t>.</w:t>
            </w:r>
          </w:p>
        </w:tc>
        <w:tc>
          <w:tcPr>
            <w:tcW w:w="1842" w:type="dxa"/>
          </w:tcPr>
          <w:p w:rsidR="0005682B" w:rsidRPr="00FF46AA" w:rsidRDefault="00FF46AA" w:rsidP="0005682B">
            <w:pPr>
              <w:tabs>
                <w:tab w:val="left" w:pos="2805"/>
              </w:tabs>
              <w:jc w:val="center"/>
              <w:rPr>
                <w:rFonts w:cstheme="minorHAnsi"/>
              </w:rPr>
            </w:pPr>
            <w:r>
              <w:rPr>
                <w:rFonts w:cstheme="minorHAnsi"/>
              </w:rPr>
              <w:t>D</w:t>
            </w:r>
            <w:r w:rsidR="0005682B" w:rsidRPr="00FF46AA">
              <w:rPr>
                <w:rFonts w:cstheme="minorHAnsi"/>
              </w:rPr>
              <w:t>ías</w:t>
            </w:r>
          </w:p>
        </w:tc>
        <w:tc>
          <w:tcPr>
            <w:tcW w:w="1843" w:type="dxa"/>
          </w:tcPr>
          <w:p w:rsidR="0005682B" w:rsidRPr="00FF46AA" w:rsidRDefault="0005682B" w:rsidP="0005682B">
            <w:pPr>
              <w:tabs>
                <w:tab w:val="left" w:pos="2805"/>
              </w:tabs>
              <w:jc w:val="center"/>
              <w:rPr>
                <w:rFonts w:cstheme="minorHAnsi"/>
              </w:rPr>
            </w:pPr>
            <w:r w:rsidRPr="00FF46AA">
              <w:rPr>
                <w:rFonts w:cstheme="minorHAnsi"/>
              </w:rPr>
              <w:t>0</w:t>
            </w:r>
          </w:p>
        </w:tc>
        <w:tc>
          <w:tcPr>
            <w:tcW w:w="1701" w:type="dxa"/>
          </w:tcPr>
          <w:p w:rsidR="0005682B" w:rsidRPr="00FF46AA" w:rsidRDefault="00810D34" w:rsidP="0005682B">
            <w:pPr>
              <w:spacing w:line="264" w:lineRule="auto"/>
              <w:jc w:val="center"/>
              <w:rPr>
                <w:rFonts w:cstheme="minorHAnsi"/>
                <w:b/>
              </w:rPr>
            </w:pPr>
            <w:r>
              <w:rPr>
                <w:rFonts w:cstheme="minorHAnsi"/>
                <w:b/>
              </w:rPr>
              <w:t>0</w:t>
            </w:r>
          </w:p>
        </w:tc>
        <w:tc>
          <w:tcPr>
            <w:tcW w:w="1559" w:type="dxa"/>
          </w:tcPr>
          <w:p w:rsidR="0005682B" w:rsidRPr="00FF46AA" w:rsidRDefault="00810D34" w:rsidP="0005682B">
            <w:pPr>
              <w:tabs>
                <w:tab w:val="left" w:pos="2805"/>
              </w:tabs>
              <w:jc w:val="center"/>
              <w:rPr>
                <w:rFonts w:cstheme="minorHAnsi"/>
              </w:rPr>
            </w:pPr>
            <w:r>
              <w:rPr>
                <w:rFonts w:cstheme="minorHAnsi"/>
              </w:rPr>
              <w:t>0</w:t>
            </w:r>
          </w:p>
          <w:p w:rsidR="0005682B" w:rsidRPr="00FF46AA" w:rsidRDefault="0005682B" w:rsidP="0005682B">
            <w:pPr>
              <w:jc w:val="right"/>
              <w:rPr>
                <w:rFonts w:cstheme="minorHAnsi"/>
              </w:rPr>
            </w:pPr>
          </w:p>
        </w:tc>
        <w:tc>
          <w:tcPr>
            <w:tcW w:w="1806" w:type="dxa"/>
          </w:tcPr>
          <w:p w:rsidR="0005682B" w:rsidRPr="00FF46AA" w:rsidRDefault="00810D34" w:rsidP="0005682B">
            <w:pPr>
              <w:tabs>
                <w:tab w:val="left" w:pos="2805"/>
              </w:tabs>
              <w:jc w:val="center"/>
              <w:rPr>
                <w:rFonts w:cstheme="minorHAnsi"/>
              </w:rPr>
            </w:pPr>
            <w:r>
              <w:rPr>
                <w:rFonts w:cstheme="minorHAnsi"/>
              </w:rPr>
              <w:t>80</w:t>
            </w:r>
          </w:p>
        </w:tc>
      </w:tr>
      <w:tr w:rsidR="0005682B" w:rsidRPr="00FF46AA" w:rsidTr="0005682B">
        <w:trPr>
          <w:trHeight w:val="978"/>
        </w:trPr>
        <w:tc>
          <w:tcPr>
            <w:tcW w:w="2093" w:type="dxa"/>
          </w:tcPr>
          <w:p w:rsidR="0005682B" w:rsidRPr="00FF46AA" w:rsidRDefault="0013409A" w:rsidP="0005682B">
            <w:pPr>
              <w:spacing w:line="264" w:lineRule="auto"/>
              <w:rPr>
                <w:rFonts w:cstheme="minorHAnsi"/>
                <w:b/>
              </w:rPr>
            </w:pPr>
            <w:r>
              <w:rPr>
                <w:rFonts w:cstheme="minorHAnsi"/>
                <w:b/>
              </w:rPr>
              <w:t>A</w:t>
            </w:r>
            <w:r w:rsidR="0005682B" w:rsidRPr="00FF46AA">
              <w:rPr>
                <w:rFonts w:cstheme="minorHAnsi"/>
                <w:b/>
              </w:rPr>
              <w:t>vance:</w:t>
            </w:r>
          </w:p>
        </w:tc>
        <w:tc>
          <w:tcPr>
            <w:tcW w:w="11161" w:type="dxa"/>
            <w:gridSpan w:val="6"/>
          </w:tcPr>
          <w:p w:rsidR="008F260D" w:rsidRPr="008F260D" w:rsidRDefault="008F260D" w:rsidP="008F260D">
            <w:pPr>
              <w:jc w:val="both"/>
              <w:rPr>
                <w:rFonts w:cstheme="minorHAnsi"/>
              </w:rPr>
            </w:pPr>
          </w:p>
          <w:p w:rsidR="008F260D" w:rsidRDefault="008F260D" w:rsidP="008F260D">
            <w:pPr>
              <w:pStyle w:val="Prrafodelista"/>
              <w:numPr>
                <w:ilvl w:val="0"/>
                <w:numId w:val="1"/>
              </w:numPr>
              <w:jc w:val="both"/>
              <w:rPr>
                <w:rFonts w:cstheme="minorHAnsi"/>
              </w:rPr>
            </w:pPr>
            <w:r>
              <w:rPr>
                <w:rFonts w:cstheme="minorHAnsi"/>
              </w:rPr>
              <w:t xml:space="preserve">Se realizó proceso de análisis de </w:t>
            </w:r>
            <w:r w:rsidRPr="00DA018A">
              <w:rPr>
                <w:rFonts w:cstheme="minorHAnsi"/>
              </w:rPr>
              <w:t xml:space="preserve">las responsabilidades de las partes involucradas en los procesos de aprobación de los planes de manejo. </w:t>
            </w:r>
            <w:r w:rsidRPr="008F260D">
              <w:rPr>
                <w:rFonts w:cstheme="minorHAnsi"/>
              </w:rPr>
              <w:t>Para ello se definieron los roles de la Secretaría Genera</w:t>
            </w:r>
            <w:r>
              <w:rPr>
                <w:rFonts w:cstheme="minorHAnsi"/>
              </w:rPr>
              <w:t>l y del Departamento de Manejo Forestal.</w:t>
            </w:r>
          </w:p>
          <w:p w:rsidR="008F260D" w:rsidRDefault="008F260D" w:rsidP="008F260D">
            <w:pPr>
              <w:pStyle w:val="Prrafodelista"/>
              <w:jc w:val="both"/>
              <w:rPr>
                <w:rFonts w:cstheme="minorHAnsi"/>
              </w:rPr>
            </w:pPr>
          </w:p>
          <w:p w:rsidR="008F260D" w:rsidRPr="008F260D" w:rsidRDefault="008F260D" w:rsidP="008F260D">
            <w:pPr>
              <w:pStyle w:val="Prrafodelista"/>
              <w:numPr>
                <w:ilvl w:val="0"/>
                <w:numId w:val="1"/>
              </w:numPr>
              <w:jc w:val="both"/>
              <w:rPr>
                <w:rFonts w:cstheme="minorHAnsi"/>
              </w:rPr>
            </w:pPr>
            <w:r w:rsidRPr="008F260D">
              <w:rPr>
                <w:rFonts w:cstheme="minorHAnsi"/>
              </w:rPr>
              <w:t xml:space="preserve">Para efectos de cumplimiento de PAPSFOR se determinó que el tiempo de aprobación del plan de manejo inicia cuando este se presenta para su aprobación. </w:t>
            </w:r>
          </w:p>
          <w:p w:rsidR="008F260D" w:rsidRDefault="008F260D" w:rsidP="008F260D">
            <w:pPr>
              <w:pStyle w:val="Prrafodelista"/>
              <w:jc w:val="both"/>
              <w:rPr>
                <w:rFonts w:cstheme="minorHAnsi"/>
              </w:rPr>
            </w:pPr>
          </w:p>
          <w:p w:rsidR="008F260D" w:rsidRDefault="008F260D" w:rsidP="008F260D">
            <w:pPr>
              <w:pStyle w:val="Prrafodelista"/>
              <w:numPr>
                <w:ilvl w:val="0"/>
                <w:numId w:val="1"/>
              </w:numPr>
              <w:jc w:val="both"/>
              <w:rPr>
                <w:rFonts w:cstheme="minorHAnsi"/>
              </w:rPr>
            </w:pPr>
            <w:r w:rsidRPr="00DA018A">
              <w:rPr>
                <w:rFonts w:cstheme="minorHAnsi"/>
              </w:rPr>
              <w:t xml:space="preserve">La no objeción es un trámite previo. </w:t>
            </w:r>
          </w:p>
          <w:p w:rsidR="008F260D" w:rsidRPr="008F260D" w:rsidRDefault="008F260D" w:rsidP="008F260D">
            <w:pPr>
              <w:pStyle w:val="Prrafodelista"/>
              <w:jc w:val="both"/>
              <w:rPr>
                <w:rFonts w:cstheme="minorHAnsi"/>
              </w:rPr>
            </w:pPr>
          </w:p>
          <w:p w:rsidR="00625C50" w:rsidRDefault="00625C50" w:rsidP="00E3075F">
            <w:pPr>
              <w:pStyle w:val="Prrafodelista"/>
              <w:numPr>
                <w:ilvl w:val="0"/>
                <w:numId w:val="1"/>
              </w:numPr>
              <w:jc w:val="both"/>
              <w:rPr>
                <w:rFonts w:cstheme="minorHAnsi"/>
              </w:rPr>
            </w:pPr>
            <w:r w:rsidRPr="008F260D">
              <w:rPr>
                <w:rFonts w:cstheme="minorHAnsi"/>
              </w:rPr>
              <w:t>El Departamento de Ma</w:t>
            </w:r>
            <w:bookmarkStart w:id="0" w:name="_GoBack"/>
            <w:bookmarkEnd w:id="0"/>
            <w:r w:rsidRPr="008F260D">
              <w:rPr>
                <w:rFonts w:cstheme="minorHAnsi"/>
              </w:rPr>
              <w:t>nejo</w:t>
            </w:r>
            <w:r w:rsidR="008F260D">
              <w:rPr>
                <w:rFonts w:cstheme="minorHAnsi"/>
              </w:rPr>
              <w:t xml:space="preserve"> forestal</w:t>
            </w:r>
            <w:r w:rsidRPr="008F260D">
              <w:rPr>
                <w:rFonts w:cstheme="minorHAnsi"/>
              </w:rPr>
              <w:t xml:space="preserve"> está en proceso de elaboración del manual de procedimientos, mismo que implica los roles del equipo de trabajo para los diferentes procesos. Este documento tiene como finalidad homologar los procesos en las 12 Regiones Forestales. Lo que compete a los procedimientos técnicos de aprobación de planes de manejo ya está evacuado. </w:t>
            </w:r>
          </w:p>
          <w:p w:rsidR="008F260D" w:rsidRPr="008F260D" w:rsidRDefault="008F260D" w:rsidP="008F260D">
            <w:pPr>
              <w:pStyle w:val="Prrafodelista"/>
              <w:jc w:val="both"/>
              <w:rPr>
                <w:rFonts w:cstheme="minorHAnsi"/>
              </w:rPr>
            </w:pPr>
          </w:p>
          <w:p w:rsidR="00625C50" w:rsidRPr="00DA018A" w:rsidRDefault="00625C50" w:rsidP="00DA018A">
            <w:pPr>
              <w:pStyle w:val="Prrafodelista"/>
              <w:numPr>
                <w:ilvl w:val="0"/>
                <w:numId w:val="1"/>
              </w:numPr>
              <w:jc w:val="both"/>
              <w:rPr>
                <w:rFonts w:cstheme="minorHAnsi"/>
              </w:rPr>
            </w:pPr>
            <w:r w:rsidRPr="00DA018A">
              <w:rPr>
                <w:rFonts w:cstheme="minorHAnsi"/>
              </w:rPr>
              <w:t>Se realizó una primera discusión del manual de procedimient</w:t>
            </w:r>
            <w:r w:rsidR="008F260D">
              <w:rPr>
                <w:rFonts w:cstheme="minorHAnsi"/>
              </w:rPr>
              <w:t>os a nivel del Departamento de M</w:t>
            </w:r>
            <w:r w:rsidRPr="00DA018A">
              <w:rPr>
                <w:rFonts w:cstheme="minorHAnsi"/>
              </w:rPr>
              <w:t>anejo Forestal.</w:t>
            </w:r>
          </w:p>
          <w:p w:rsidR="00625C50" w:rsidRPr="00FF46AA" w:rsidRDefault="00625C50" w:rsidP="00E3075F">
            <w:pPr>
              <w:jc w:val="both"/>
              <w:rPr>
                <w:rFonts w:cstheme="minorHAnsi"/>
              </w:rPr>
            </w:pPr>
          </w:p>
          <w:p w:rsidR="008F260D" w:rsidRPr="008F260D" w:rsidRDefault="008F260D" w:rsidP="008F260D">
            <w:pPr>
              <w:pStyle w:val="Prrafodelista"/>
              <w:numPr>
                <w:ilvl w:val="0"/>
                <w:numId w:val="1"/>
              </w:numPr>
              <w:jc w:val="both"/>
              <w:rPr>
                <w:rFonts w:cstheme="minorHAnsi"/>
              </w:rPr>
            </w:pPr>
            <w:r>
              <w:rPr>
                <w:rFonts w:cstheme="minorHAnsi"/>
              </w:rPr>
              <w:t>Se elaboraron Términos de R</w:t>
            </w:r>
            <w:r w:rsidR="00625C50" w:rsidRPr="00DA018A">
              <w:rPr>
                <w:rFonts w:cstheme="minorHAnsi"/>
              </w:rPr>
              <w:t xml:space="preserve">eferencia para la contratación de un profesional forestal/abogado para una compilación y revisión de la normativa vigente. </w:t>
            </w:r>
            <w:r w:rsidR="00B57838" w:rsidRPr="00DA018A">
              <w:rPr>
                <w:rFonts w:cstheme="minorHAnsi"/>
              </w:rPr>
              <w:t>Estos términos fueron remitidos a la Dirección Ejecutiva con el listado de los postulantes.</w:t>
            </w:r>
          </w:p>
          <w:p w:rsidR="000F3362" w:rsidRPr="00DA018A" w:rsidRDefault="000F3362" w:rsidP="000F3362">
            <w:pPr>
              <w:pStyle w:val="Prrafodelista"/>
              <w:jc w:val="both"/>
              <w:rPr>
                <w:rFonts w:cstheme="minorHAnsi"/>
              </w:rPr>
            </w:pPr>
          </w:p>
          <w:p w:rsidR="00B57838" w:rsidRPr="00FF46AA" w:rsidRDefault="00B57838" w:rsidP="00B124CA">
            <w:pPr>
              <w:pStyle w:val="Prrafodelista"/>
              <w:numPr>
                <w:ilvl w:val="0"/>
                <w:numId w:val="1"/>
              </w:numPr>
              <w:rPr>
                <w:rFonts w:cstheme="minorHAnsi"/>
              </w:rPr>
            </w:pPr>
            <w:r w:rsidRPr="00B124CA">
              <w:rPr>
                <w:rFonts w:cstheme="minorHAnsi"/>
              </w:rPr>
              <w:t>Se monitorean los tiempos mediante la bitácora del SNIF. Se tiene acceso a la información al momento que se requiera, siempre y cuando el SNIF esté activo.</w:t>
            </w:r>
          </w:p>
        </w:tc>
      </w:tr>
    </w:tbl>
    <w:p w:rsidR="0005682B" w:rsidRPr="00FF46AA" w:rsidRDefault="0005682B" w:rsidP="00656100">
      <w:pPr>
        <w:tabs>
          <w:tab w:val="left" w:pos="2805"/>
        </w:tabs>
        <w:rPr>
          <w:rFonts w:cstheme="minorHAnsi"/>
        </w:rPr>
      </w:pPr>
    </w:p>
    <w:sectPr w:rsidR="0005682B" w:rsidRPr="00FF46AA" w:rsidSect="0065610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D8" w:rsidRDefault="006338D8" w:rsidP="000F3362">
      <w:pPr>
        <w:spacing w:after="0" w:line="240" w:lineRule="auto"/>
      </w:pPr>
      <w:r>
        <w:separator/>
      </w:r>
    </w:p>
  </w:endnote>
  <w:endnote w:type="continuationSeparator" w:id="0">
    <w:p w:rsidR="006338D8" w:rsidRDefault="006338D8" w:rsidP="000F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D8" w:rsidRDefault="006338D8" w:rsidP="000F3362">
      <w:pPr>
        <w:spacing w:after="0" w:line="240" w:lineRule="auto"/>
      </w:pPr>
      <w:r>
        <w:separator/>
      </w:r>
    </w:p>
  </w:footnote>
  <w:footnote w:type="continuationSeparator" w:id="0">
    <w:p w:rsidR="006338D8" w:rsidRDefault="006338D8" w:rsidP="000F3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074"/>
    <w:multiLevelType w:val="hybridMultilevel"/>
    <w:tmpl w:val="C92C22D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5D"/>
    <w:rsid w:val="00013376"/>
    <w:rsid w:val="000463D2"/>
    <w:rsid w:val="0005682B"/>
    <w:rsid w:val="000668BF"/>
    <w:rsid w:val="000973F9"/>
    <w:rsid w:val="000D3FBE"/>
    <w:rsid w:val="000F3362"/>
    <w:rsid w:val="0013409A"/>
    <w:rsid w:val="001C5AE2"/>
    <w:rsid w:val="001D2896"/>
    <w:rsid w:val="0020375D"/>
    <w:rsid w:val="00280E8F"/>
    <w:rsid w:val="002D03B8"/>
    <w:rsid w:val="00313ABC"/>
    <w:rsid w:val="00315AD1"/>
    <w:rsid w:val="00343D1F"/>
    <w:rsid w:val="003F42BA"/>
    <w:rsid w:val="004657F6"/>
    <w:rsid w:val="00493EEE"/>
    <w:rsid w:val="00625C50"/>
    <w:rsid w:val="006338D8"/>
    <w:rsid w:val="00656100"/>
    <w:rsid w:val="007C2B0C"/>
    <w:rsid w:val="00810D34"/>
    <w:rsid w:val="00833476"/>
    <w:rsid w:val="00847B6A"/>
    <w:rsid w:val="008F260D"/>
    <w:rsid w:val="00902D78"/>
    <w:rsid w:val="009135A5"/>
    <w:rsid w:val="009418EA"/>
    <w:rsid w:val="00B124CA"/>
    <w:rsid w:val="00B57838"/>
    <w:rsid w:val="00C455F8"/>
    <w:rsid w:val="00CB44FF"/>
    <w:rsid w:val="00DA018A"/>
    <w:rsid w:val="00E3075F"/>
    <w:rsid w:val="00FE5811"/>
    <w:rsid w:val="00FF46AA"/>
    <w:rsid w:val="00FF6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3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75D"/>
    <w:rPr>
      <w:rFonts w:ascii="Tahoma" w:hAnsi="Tahoma" w:cs="Tahoma"/>
      <w:sz w:val="16"/>
      <w:szCs w:val="16"/>
    </w:rPr>
  </w:style>
  <w:style w:type="table" w:styleId="Tablaconcuadrcula">
    <w:name w:val="Table Grid"/>
    <w:basedOn w:val="Tablanormal"/>
    <w:uiPriority w:val="59"/>
    <w:rsid w:val="0065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018A"/>
    <w:pPr>
      <w:ind w:left="720"/>
      <w:contextualSpacing/>
    </w:pPr>
  </w:style>
  <w:style w:type="paragraph" w:styleId="Encabezado">
    <w:name w:val="header"/>
    <w:basedOn w:val="Normal"/>
    <w:link w:val="EncabezadoCar"/>
    <w:uiPriority w:val="99"/>
    <w:unhideWhenUsed/>
    <w:rsid w:val="000F3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362"/>
  </w:style>
  <w:style w:type="paragraph" w:styleId="Piedepgina">
    <w:name w:val="footer"/>
    <w:basedOn w:val="Normal"/>
    <w:link w:val="PiedepginaCar"/>
    <w:uiPriority w:val="99"/>
    <w:unhideWhenUsed/>
    <w:rsid w:val="000F3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3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75D"/>
    <w:rPr>
      <w:rFonts w:ascii="Tahoma" w:hAnsi="Tahoma" w:cs="Tahoma"/>
      <w:sz w:val="16"/>
      <w:szCs w:val="16"/>
    </w:rPr>
  </w:style>
  <w:style w:type="table" w:styleId="Tablaconcuadrcula">
    <w:name w:val="Table Grid"/>
    <w:basedOn w:val="Tablanormal"/>
    <w:uiPriority w:val="59"/>
    <w:rsid w:val="0065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018A"/>
    <w:pPr>
      <w:ind w:left="720"/>
      <w:contextualSpacing/>
    </w:pPr>
  </w:style>
  <w:style w:type="paragraph" w:styleId="Encabezado">
    <w:name w:val="header"/>
    <w:basedOn w:val="Normal"/>
    <w:link w:val="EncabezadoCar"/>
    <w:uiPriority w:val="99"/>
    <w:unhideWhenUsed/>
    <w:rsid w:val="000F3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362"/>
  </w:style>
  <w:style w:type="paragraph" w:styleId="Piedepgina">
    <w:name w:val="footer"/>
    <w:basedOn w:val="Normal"/>
    <w:link w:val="PiedepginaCar"/>
    <w:uiPriority w:val="99"/>
    <w:unhideWhenUsed/>
    <w:rsid w:val="000F3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0B9F-8140-42DE-8C30-E75C83CD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Jeanny Yolanda JA. Almendares Rodriguez</dc:creator>
  <cp:lastModifiedBy>Carmen Alejandra CG. Garcia Membreño</cp:lastModifiedBy>
  <cp:revision>3</cp:revision>
  <cp:lastPrinted>2015-07-02T16:39:00Z</cp:lastPrinted>
  <dcterms:created xsi:type="dcterms:W3CDTF">2015-07-02T16:42:00Z</dcterms:created>
  <dcterms:modified xsi:type="dcterms:W3CDTF">2015-07-03T15:56:00Z</dcterms:modified>
</cp:coreProperties>
</file>