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0D" w:rsidRDefault="0088230D" w:rsidP="00E30210">
      <w:pPr>
        <w:spacing w:after="0" w:line="264" w:lineRule="auto"/>
        <w:jc w:val="center"/>
        <w:rPr>
          <w:b/>
        </w:rPr>
      </w:pPr>
      <w:r>
        <w:rPr>
          <w:noProof/>
          <w:lang w:eastAsia="es-HN"/>
        </w:rPr>
        <w:drawing>
          <wp:anchor distT="0" distB="0" distL="114300" distR="114300" simplePos="0" relativeHeight="251659264" behindDoc="0" locked="0" layoutInCell="1" allowOverlap="1" wp14:anchorId="41F13BF9" wp14:editId="5E9688CF">
            <wp:simplePos x="0" y="0"/>
            <wp:positionH relativeFrom="column">
              <wp:posOffset>2056765</wp:posOffset>
            </wp:positionH>
            <wp:positionV relativeFrom="paragraph">
              <wp:posOffset>-645795</wp:posOffset>
            </wp:positionV>
            <wp:extent cx="3961130" cy="1066800"/>
            <wp:effectExtent l="0" t="0" r="1270" b="0"/>
            <wp:wrapTight wrapText="bothSides">
              <wp:wrapPolygon edited="0">
                <wp:start x="0" y="0"/>
                <wp:lineTo x="0" y="21214"/>
                <wp:lineTo x="21503" y="21214"/>
                <wp:lineTo x="2150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113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230D" w:rsidRDefault="0088230D" w:rsidP="00E30210">
      <w:pPr>
        <w:spacing w:after="0" w:line="264" w:lineRule="auto"/>
        <w:jc w:val="center"/>
        <w:rPr>
          <w:b/>
        </w:rPr>
      </w:pPr>
    </w:p>
    <w:p w:rsidR="0088230D" w:rsidRDefault="0088230D" w:rsidP="00E30210">
      <w:pPr>
        <w:spacing w:after="0" w:line="264" w:lineRule="auto"/>
        <w:jc w:val="center"/>
        <w:rPr>
          <w:b/>
        </w:rPr>
      </w:pPr>
    </w:p>
    <w:p w:rsidR="00D61071" w:rsidRDefault="00D61071" w:rsidP="00E30210">
      <w:pPr>
        <w:spacing w:after="0" w:line="264" w:lineRule="auto"/>
        <w:jc w:val="center"/>
        <w:rPr>
          <w:b/>
        </w:rPr>
      </w:pPr>
    </w:p>
    <w:p w:rsidR="00744CF9" w:rsidRDefault="0088230D" w:rsidP="00E30210">
      <w:pPr>
        <w:spacing w:after="0" w:line="264" w:lineRule="auto"/>
        <w:jc w:val="center"/>
        <w:rPr>
          <w:b/>
        </w:rPr>
      </w:pPr>
      <w:r>
        <w:rPr>
          <w:b/>
        </w:rPr>
        <w:t>AVANCES CUMPLIMIENTO INDICADORES PAPSFOR</w:t>
      </w:r>
    </w:p>
    <w:p w:rsidR="0088230D" w:rsidRDefault="0088230D" w:rsidP="00E30210">
      <w:pPr>
        <w:spacing w:after="0" w:line="264" w:lineRule="auto"/>
        <w:jc w:val="center"/>
        <w:rPr>
          <w:b/>
        </w:rPr>
      </w:pPr>
    </w:p>
    <w:p w:rsidR="00E30210" w:rsidRDefault="00E30210" w:rsidP="00E30210">
      <w:pPr>
        <w:spacing w:after="0" w:line="264" w:lineRule="auto"/>
        <w:jc w:val="center"/>
        <w:rPr>
          <w:b/>
        </w:rPr>
      </w:pPr>
    </w:p>
    <w:tbl>
      <w:tblPr>
        <w:tblStyle w:val="Tablaconcuadrcula"/>
        <w:tblW w:w="13254" w:type="dxa"/>
        <w:tblLook w:val="04A0" w:firstRow="1" w:lastRow="0" w:firstColumn="1" w:lastColumn="0" w:noHBand="0" w:noVBand="1"/>
      </w:tblPr>
      <w:tblGrid>
        <w:gridCol w:w="2093"/>
        <w:gridCol w:w="2410"/>
        <w:gridCol w:w="1842"/>
        <w:gridCol w:w="1843"/>
        <w:gridCol w:w="1701"/>
        <w:gridCol w:w="1559"/>
        <w:gridCol w:w="1806"/>
      </w:tblGrid>
      <w:tr w:rsidR="00E30210" w:rsidTr="0088230D">
        <w:trPr>
          <w:trHeight w:val="879"/>
        </w:trPr>
        <w:tc>
          <w:tcPr>
            <w:tcW w:w="4503" w:type="dxa"/>
            <w:gridSpan w:val="2"/>
            <w:vAlign w:val="center"/>
          </w:tcPr>
          <w:p w:rsidR="00E30210" w:rsidRDefault="0088230D" w:rsidP="0088230D">
            <w:pPr>
              <w:spacing w:line="264" w:lineRule="auto"/>
              <w:jc w:val="center"/>
              <w:rPr>
                <w:b/>
              </w:rPr>
            </w:pPr>
            <w:r>
              <w:rPr>
                <w:b/>
              </w:rPr>
              <w:t>Descripción del Indicador</w:t>
            </w:r>
          </w:p>
        </w:tc>
        <w:tc>
          <w:tcPr>
            <w:tcW w:w="1842" w:type="dxa"/>
            <w:vAlign w:val="center"/>
          </w:tcPr>
          <w:p w:rsidR="00E30210" w:rsidRDefault="00E30210" w:rsidP="0088230D">
            <w:pPr>
              <w:spacing w:line="264" w:lineRule="auto"/>
              <w:jc w:val="center"/>
              <w:rPr>
                <w:b/>
              </w:rPr>
            </w:pPr>
            <w:r>
              <w:rPr>
                <w:b/>
              </w:rPr>
              <w:t>Meta</w:t>
            </w:r>
          </w:p>
          <w:p w:rsidR="00E30210" w:rsidRDefault="00E30210" w:rsidP="0088230D">
            <w:pPr>
              <w:spacing w:line="264" w:lineRule="auto"/>
              <w:jc w:val="center"/>
              <w:rPr>
                <w:b/>
              </w:rPr>
            </w:pPr>
            <w:r>
              <w:rPr>
                <w:b/>
              </w:rPr>
              <w:t>Anual</w:t>
            </w:r>
          </w:p>
        </w:tc>
        <w:tc>
          <w:tcPr>
            <w:tcW w:w="1843" w:type="dxa"/>
            <w:vAlign w:val="center"/>
          </w:tcPr>
          <w:p w:rsidR="00E30210" w:rsidRDefault="00E30210" w:rsidP="0088230D">
            <w:pPr>
              <w:spacing w:line="264" w:lineRule="auto"/>
              <w:jc w:val="center"/>
              <w:rPr>
                <w:b/>
              </w:rPr>
            </w:pPr>
            <w:r>
              <w:rPr>
                <w:b/>
              </w:rPr>
              <w:t>Programado</w:t>
            </w:r>
            <w:r w:rsidR="0088230D">
              <w:rPr>
                <w:b/>
              </w:rPr>
              <w:t xml:space="preserve"> I</w:t>
            </w:r>
          </w:p>
          <w:p w:rsidR="0088230D" w:rsidRDefault="0088230D" w:rsidP="0088230D">
            <w:pPr>
              <w:spacing w:line="264" w:lineRule="auto"/>
              <w:jc w:val="center"/>
              <w:rPr>
                <w:b/>
              </w:rPr>
            </w:pPr>
            <w:r>
              <w:rPr>
                <w:b/>
              </w:rPr>
              <w:t>Trimestre</w:t>
            </w:r>
          </w:p>
        </w:tc>
        <w:tc>
          <w:tcPr>
            <w:tcW w:w="1701" w:type="dxa"/>
            <w:vAlign w:val="center"/>
          </w:tcPr>
          <w:p w:rsidR="00E30210" w:rsidRDefault="00E30210" w:rsidP="0088230D">
            <w:pPr>
              <w:spacing w:line="264" w:lineRule="auto"/>
              <w:jc w:val="center"/>
              <w:rPr>
                <w:b/>
              </w:rPr>
            </w:pPr>
            <w:r>
              <w:rPr>
                <w:b/>
              </w:rPr>
              <w:t>Ejecutado</w:t>
            </w:r>
            <w:r w:rsidR="0088230D">
              <w:rPr>
                <w:b/>
              </w:rPr>
              <w:t xml:space="preserve"> I</w:t>
            </w:r>
          </w:p>
          <w:p w:rsidR="0088230D" w:rsidRDefault="0088230D" w:rsidP="0088230D">
            <w:pPr>
              <w:spacing w:line="264" w:lineRule="auto"/>
              <w:jc w:val="center"/>
              <w:rPr>
                <w:b/>
              </w:rPr>
            </w:pPr>
            <w:r>
              <w:rPr>
                <w:b/>
              </w:rPr>
              <w:t>Trimestre</w:t>
            </w:r>
          </w:p>
        </w:tc>
        <w:tc>
          <w:tcPr>
            <w:tcW w:w="1559" w:type="dxa"/>
            <w:vAlign w:val="center"/>
          </w:tcPr>
          <w:p w:rsidR="00E30210" w:rsidRDefault="00E30210" w:rsidP="0088230D">
            <w:pPr>
              <w:spacing w:line="264" w:lineRule="auto"/>
              <w:jc w:val="center"/>
              <w:rPr>
                <w:b/>
              </w:rPr>
            </w:pPr>
            <w:r>
              <w:rPr>
                <w:b/>
              </w:rPr>
              <w:t>Total A</w:t>
            </w:r>
            <w:r w:rsidR="0088230D">
              <w:rPr>
                <w:b/>
              </w:rPr>
              <w:t>cum</w:t>
            </w:r>
            <w:r>
              <w:rPr>
                <w:b/>
              </w:rPr>
              <w:t>ulado</w:t>
            </w:r>
          </w:p>
        </w:tc>
        <w:tc>
          <w:tcPr>
            <w:tcW w:w="1806" w:type="dxa"/>
            <w:vAlign w:val="center"/>
          </w:tcPr>
          <w:p w:rsidR="00E30210" w:rsidRDefault="00E30210" w:rsidP="0088230D">
            <w:pPr>
              <w:spacing w:line="264" w:lineRule="auto"/>
              <w:jc w:val="center"/>
              <w:rPr>
                <w:b/>
              </w:rPr>
            </w:pPr>
            <w:r>
              <w:rPr>
                <w:b/>
              </w:rPr>
              <w:t>Pendiente de Ejecutar</w:t>
            </w:r>
          </w:p>
        </w:tc>
      </w:tr>
      <w:tr w:rsidR="00E30210" w:rsidTr="00A657F4">
        <w:trPr>
          <w:trHeight w:val="859"/>
        </w:trPr>
        <w:tc>
          <w:tcPr>
            <w:tcW w:w="4503" w:type="dxa"/>
            <w:gridSpan w:val="2"/>
          </w:tcPr>
          <w:p w:rsidR="00CA18BB" w:rsidRDefault="00CA18BB" w:rsidP="00A657F4">
            <w:pPr>
              <w:spacing w:line="264" w:lineRule="auto"/>
              <w:rPr>
                <w:b/>
              </w:rPr>
            </w:pPr>
            <w:r>
              <w:rPr>
                <w:b/>
              </w:rPr>
              <w:t xml:space="preserve">Indicador 4: </w:t>
            </w:r>
          </w:p>
          <w:p w:rsidR="00E30210" w:rsidRDefault="00A657F4" w:rsidP="00A657F4">
            <w:pPr>
              <w:spacing w:line="264" w:lineRule="auto"/>
              <w:rPr>
                <w:b/>
              </w:rPr>
            </w:pPr>
            <w:bookmarkStart w:id="0" w:name="_GoBack"/>
            <w:bookmarkEnd w:id="0"/>
            <w:r w:rsidRPr="00A657F4">
              <w:rPr>
                <w:b/>
              </w:rPr>
              <w:t>Cantidad de áreas protegidas del SINAPH con planes operativos funcionando.</w:t>
            </w:r>
          </w:p>
        </w:tc>
        <w:tc>
          <w:tcPr>
            <w:tcW w:w="1842" w:type="dxa"/>
          </w:tcPr>
          <w:p w:rsidR="00E30210" w:rsidRDefault="00A657F4" w:rsidP="00E30210">
            <w:pPr>
              <w:spacing w:line="264" w:lineRule="auto"/>
              <w:jc w:val="center"/>
              <w:rPr>
                <w:b/>
              </w:rPr>
            </w:pPr>
            <w:r>
              <w:rPr>
                <w:b/>
              </w:rPr>
              <w:t>3</w:t>
            </w:r>
          </w:p>
        </w:tc>
        <w:tc>
          <w:tcPr>
            <w:tcW w:w="1843" w:type="dxa"/>
          </w:tcPr>
          <w:p w:rsidR="00E30210" w:rsidRDefault="00A657F4" w:rsidP="00E30210">
            <w:pPr>
              <w:spacing w:line="264" w:lineRule="auto"/>
              <w:jc w:val="center"/>
              <w:rPr>
                <w:b/>
              </w:rPr>
            </w:pPr>
            <w:r>
              <w:rPr>
                <w:b/>
              </w:rPr>
              <w:t>3</w:t>
            </w:r>
          </w:p>
        </w:tc>
        <w:tc>
          <w:tcPr>
            <w:tcW w:w="1701" w:type="dxa"/>
          </w:tcPr>
          <w:p w:rsidR="00E30210" w:rsidRDefault="00A657F4" w:rsidP="00E30210">
            <w:pPr>
              <w:spacing w:line="264" w:lineRule="auto"/>
              <w:jc w:val="center"/>
              <w:rPr>
                <w:b/>
              </w:rPr>
            </w:pPr>
            <w:r>
              <w:rPr>
                <w:b/>
              </w:rPr>
              <w:t>3</w:t>
            </w:r>
          </w:p>
        </w:tc>
        <w:tc>
          <w:tcPr>
            <w:tcW w:w="1559" w:type="dxa"/>
          </w:tcPr>
          <w:p w:rsidR="00E30210" w:rsidRDefault="00A657F4" w:rsidP="00E30210">
            <w:pPr>
              <w:spacing w:line="264" w:lineRule="auto"/>
              <w:jc w:val="center"/>
              <w:rPr>
                <w:b/>
              </w:rPr>
            </w:pPr>
            <w:r>
              <w:rPr>
                <w:b/>
              </w:rPr>
              <w:t>3</w:t>
            </w:r>
          </w:p>
        </w:tc>
        <w:tc>
          <w:tcPr>
            <w:tcW w:w="1806" w:type="dxa"/>
          </w:tcPr>
          <w:p w:rsidR="00E30210" w:rsidRDefault="00A657F4" w:rsidP="00E30210">
            <w:pPr>
              <w:spacing w:line="264" w:lineRule="auto"/>
              <w:jc w:val="center"/>
              <w:rPr>
                <w:b/>
              </w:rPr>
            </w:pPr>
            <w:r>
              <w:rPr>
                <w:b/>
              </w:rPr>
              <w:t>3</w:t>
            </w:r>
          </w:p>
        </w:tc>
      </w:tr>
      <w:tr w:rsidR="00E30210" w:rsidTr="00C54A49">
        <w:trPr>
          <w:trHeight w:val="2534"/>
        </w:trPr>
        <w:tc>
          <w:tcPr>
            <w:tcW w:w="2093" w:type="dxa"/>
            <w:shd w:val="clear" w:color="auto" w:fill="auto"/>
          </w:tcPr>
          <w:p w:rsidR="00E30210" w:rsidRDefault="0077406E" w:rsidP="00C54A49">
            <w:pPr>
              <w:spacing w:line="264" w:lineRule="auto"/>
              <w:rPr>
                <w:b/>
                <w:sz w:val="24"/>
              </w:rPr>
            </w:pPr>
            <w:r w:rsidRPr="0088230D">
              <w:rPr>
                <w:b/>
                <w:sz w:val="24"/>
              </w:rPr>
              <w:t>Procesos de avance</w:t>
            </w:r>
            <w:r w:rsidR="00E30210" w:rsidRPr="0088230D">
              <w:rPr>
                <w:b/>
                <w:sz w:val="24"/>
              </w:rPr>
              <w:t>:</w:t>
            </w:r>
          </w:p>
          <w:p w:rsidR="00C54A49" w:rsidRPr="00AB15B1" w:rsidRDefault="00C54A49" w:rsidP="00C54A49">
            <w:pPr>
              <w:rPr>
                <w:rFonts w:eastAsia="Times New Roman" w:cstheme="minorHAnsi"/>
                <w:b/>
                <w:lang w:eastAsia="es-HN"/>
              </w:rPr>
            </w:pPr>
            <w:r w:rsidRPr="00AB15B1">
              <w:rPr>
                <w:rFonts w:eastAsia="Times New Roman" w:cstheme="minorHAnsi"/>
                <w:b/>
                <w:lang w:eastAsia="es-HN"/>
              </w:rPr>
              <w:t>RESERVA BIOLÓGICA OPALACA</w:t>
            </w:r>
          </w:p>
          <w:p w:rsidR="00C54A49" w:rsidRPr="0088230D" w:rsidRDefault="00C54A49" w:rsidP="00C54A49">
            <w:pPr>
              <w:spacing w:line="264" w:lineRule="auto"/>
              <w:rPr>
                <w:b/>
                <w:sz w:val="24"/>
              </w:rPr>
            </w:pPr>
          </w:p>
        </w:tc>
        <w:tc>
          <w:tcPr>
            <w:tcW w:w="11161" w:type="dxa"/>
            <w:gridSpan w:val="6"/>
          </w:tcPr>
          <w:p w:rsidR="00AB15B1" w:rsidRPr="00AB15B1" w:rsidRDefault="00AB15B1" w:rsidP="00AB15B1">
            <w:pPr>
              <w:rPr>
                <w:rFonts w:eastAsia="Times New Roman" w:cstheme="minorHAnsi"/>
                <w:color w:val="548DD4" w:themeColor="text2" w:themeTint="99"/>
                <w:lang w:eastAsia="es-HN"/>
              </w:rPr>
            </w:pPr>
          </w:p>
          <w:p w:rsidR="00AB15B1" w:rsidRDefault="00AB15B1" w:rsidP="00AB15B1">
            <w:pPr>
              <w:rPr>
                <w:rFonts w:eastAsia="Times New Roman" w:cstheme="minorHAnsi"/>
                <w:b/>
                <w:color w:val="548DD4" w:themeColor="text2" w:themeTint="99"/>
                <w:lang w:eastAsia="es-HN"/>
              </w:rPr>
            </w:pPr>
            <w:r w:rsidRPr="00AB15B1">
              <w:rPr>
                <w:rFonts w:eastAsia="Times New Roman" w:cstheme="minorHAnsi"/>
                <w:b/>
                <w:color w:val="548DD4" w:themeColor="text2" w:themeTint="99"/>
                <w:lang w:eastAsia="es-HN"/>
              </w:rPr>
              <w:t>ENERO 2015</w:t>
            </w:r>
          </w:p>
          <w:p w:rsidR="00AB15B1" w:rsidRPr="00AB15B1" w:rsidRDefault="00AB15B1" w:rsidP="00AB15B1">
            <w:pPr>
              <w:rPr>
                <w:rFonts w:eastAsia="Times New Roman" w:cstheme="minorHAnsi"/>
                <w:b/>
                <w:color w:val="548DD4" w:themeColor="text2" w:themeTint="99"/>
                <w:lang w:eastAsia="es-HN"/>
              </w:rPr>
            </w:pPr>
          </w:p>
          <w:p w:rsidR="00AB15B1" w:rsidRPr="00AB15B1" w:rsidRDefault="00AB15B1" w:rsidP="00AB15B1">
            <w:pPr>
              <w:pStyle w:val="Prrafodelista"/>
              <w:numPr>
                <w:ilvl w:val="0"/>
                <w:numId w:val="2"/>
              </w:numPr>
              <w:tabs>
                <w:tab w:val="left" w:pos="333"/>
              </w:tabs>
              <w:ind w:left="50" w:firstLine="0"/>
              <w:rPr>
                <w:rFonts w:asciiTheme="minorHAnsi" w:eastAsia="Times New Roman" w:hAnsiTheme="minorHAnsi" w:cstheme="minorHAnsi"/>
                <w:lang w:eastAsia="es-HN"/>
              </w:rPr>
            </w:pPr>
            <w:r w:rsidRPr="00AB15B1">
              <w:rPr>
                <w:rFonts w:asciiTheme="minorHAnsi" w:hAnsiTheme="minorHAnsi" w:cstheme="minorHAnsi"/>
              </w:rPr>
              <w:t xml:space="preserve">Reunión de trabajo con parte del </w:t>
            </w:r>
            <w:r w:rsidRPr="00AB15B1">
              <w:rPr>
                <w:rFonts w:asciiTheme="minorHAnsi" w:hAnsiTheme="minorHAnsi" w:cstheme="minorHAnsi"/>
                <w:b/>
              </w:rPr>
              <w:t>comité de Comanejo de Opalaca</w:t>
            </w:r>
            <w:r w:rsidRPr="00AB15B1">
              <w:rPr>
                <w:rFonts w:asciiTheme="minorHAnsi" w:hAnsiTheme="minorHAnsi" w:cstheme="minorHAnsi"/>
              </w:rPr>
              <w:t xml:space="preserve"> donde se informó de los avances realizados en la entrega del plan de manejo y los set de mapas</w:t>
            </w:r>
          </w:p>
          <w:p w:rsidR="00AB15B1" w:rsidRPr="00AB15B1" w:rsidRDefault="00AB15B1" w:rsidP="00AB15B1">
            <w:pPr>
              <w:rPr>
                <w:rFonts w:eastAsia="Times New Roman" w:cstheme="minorHAnsi"/>
                <w:lang w:eastAsia="es-HN"/>
              </w:rPr>
            </w:pPr>
          </w:p>
          <w:p w:rsidR="00AB15B1" w:rsidRDefault="00AB15B1" w:rsidP="00AB15B1">
            <w:pPr>
              <w:rPr>
                <w:rFonts w:eastAsia="Times New Roman" w:cstheme="minorHAnsi"/>
                <w:b/>
                <w:color w:val="548DD4" w:themeColor="text2" w:themeTint="99"/>
                <w:lang w:eastAsia="es-HN"/>
              </w:rPr>
            </w:pPr>
            <w:r w:rsidRPr="00AB15B1">
              <w:rPr>
                <w:rFonts w:eastAsia="Times New Roman" w:cstheme="minorHAnsi"/>
                <w:b/>
                <w:color w:val="548DD4" w:themeColor="text2" w:themeTint="99"/>
                <w:lang w:eastAsia="es-HN"/>
              </w:rPr>
              <w:t>FEBRERO 2015</w:t>
            </w:r>
          </w:p>
          <w:p w:rsidR="00AB15B1" w:rsidRPr="00AB15B1" w:rsidRDefault="00AB15B1" w:rsidP="00AB15B1">
            <w:pPr>
              <w:rPr>
                <w:rFonts w:eastAsia="Times New Roman" w:cstheme="minorHAnsi"/>
                <w:b/>
                <w:color w:val="548DD4" w:themeColor="text2" w:themeTint="99"/>
                <w:lang w:eastAsia="es-HN"/>
              </w:rPr>
            </w:pPr>
          </w:p>
          <w:p w:rsidR="00AB15B1" w:rsidRPr="00AB15B1" w:rsidRDefault="00AB15B1" w:rsidP="00AB15B1">
            <w:pPr>
              <w:pStyle w:val="Prrafodelista"/>
              <w:widowControl w:val="0"/>
              <w:numPr>
                <w:ilvl w:val="0"/>
                <w:numId w:val="1"/>
              </w:numPr>
              <w:tabs>
                <w:tab w:val="left" w:pos="50"/>
                <w:tab w:val="left" w:pos="192"/>
              </w:tabs>
              <w:ind w:left="50" w:hanging="50"/>
              <w:rPr>
                <w:rFonts w:asciiTheme="minorHAnsi" w:hAnsiTheme="minorHAnsi" w:cstheme="minorHAnsi"/>
              </w:rPr>
            </w:pPr>
            <w:r w:rsidRPr="00AB15B1">
              <w:rPr>
                <w:rFonts w:asciiTheme="minorHAnsi" w:hAnsiTheme="minorHAnsi" w:cstheme="minorHAnsi"/>
              </w:rPr>
              <w:t xml:space="preserve">Se fortaleció el </w:t>
            </w:r>
            <w:r w:rsidRPr="00AB15B1">
              <w:rPr>
                <w:rFonts w:asciiTheme="minorHAnsi" w:hAnsiTheme="minorHAnsi" w:cstheme="minorHAnsi"/>
                <w:b/>
              </w:rPr>
              <w:t>Consejo Consultivo Comunitario</w:t>
            </w:r>
            <w:r w:rsidRPr="00AB15B1">
              <w:rPr>
                <w:rFonts w:asciiTheme="minorHAnsi" w:hAnsiTheme="minorHAnsi" w:cstheme="minorHAnsi"/>
              </w:rPr>
              <w:t xml:space="preserve"> de pacayita, con el apoyo de la subvención CATIE/MOSEF, CONADEH y municipalidad de Yamaranguila </w:t>
            </w:r>
          </w:p>
          <w:p w:rsidR="00AB15B1" w:rsidRPr="00AB15B1" w:rsidRDefault="00AB15B1" w:rsidP="00AB15B1">
            <w:pPr>
              <w:pStyle w:val="Prrafodelista"/>
              <w:widowControl w:val="0"/>
              <w:tabs>
                <w:tab w:val="left" w:pos="50"/>
                <w:tab w:val="left" w:pos="192"/>
              </w:tabs>
              <w:ind w:left="50"/>
              <w:rPr>
                <w:rFonts w:asciiTheme="minorHAnsi" w:hAnsiTheme="minorHAnsi" w:cstheme="minorHAnsi"/>
              </w:rPr>
            </w:pPr>
          </w:p>
          <w:p w:rsidR="00AB15B1" w:rsidRPr="00AB15B1" w:rsidRDefault="00AB15B1" w:rsidP="00AB15B1">
            <w:pPr>
              <w:numPr>
                <w:ilvl w:val="0"/>
                <w:numId w:val="1"/>
              </w:numPr>
              <w:tabs>
                <w:tab w:val="left" w:pos="50"/>
                <w:tab w:val="left" w:pos="192"/>
              </w:tabs>
              <w:ind w:left="50" w:hanging="50"/>
              <w:rPr>
                <w:rFonts w:cstheme="minorHAnsi"/>
              </w:rPr>
            </w:pPr>
            <w:r w:rsidRPr="00AB15B1">
              <w:rPr>
                <w:rFonts w:cstheme="minorHAnsi"/>
              </w:rPr>
              <w:t xml:space="preserve">Se celebró la reunión mensual del </w:t>
            </w:r>
            <w:r w:rsidRPr="00AB15B1">
              <w:rPr>
                <w:rFonts w:cstheme="minorHAnsi"/>
                <w:b/>
              </w:rPr>
              <w:t xml:space="preserve">Comité de Comanejo </w:t>
            </w:r>
            <w:r w:rsidRPr="00AB15B1">
              <w:rPr>
                <w:rFonts w:cstheme="minorHAnsi"/>
              </w:rPr>
              <w:t xml:space="preserve">de la Reserva Biológica Opalaca. </w:t>
            </w:r>
          </w:p>
          <w:p w:rsidR="00AB15B1" w:rsidRPr="00AB15B1" w:rsidRDefault="00AB15B1" w:rsidP="00AB15B1">
            <w:pPr>
              <w:pStyle w:val="Prrafodelista"/>
              <w:rPr>
                <w:rFonts w:asciiTheme="minorHAnsi" w:hAnsiTheme="minorHAnsi" w:cstheme="minorHAnsi"/>
              </w:rPr>
            </w:pPr>
          </w:p>
          <w:p w:rsidR="00AB15B1" w:rsidRPr="00AB15B1" w:rsidRDefault="00AB15B1" w:rsidP="00AB15B1">
            <w:pPr>
              <w:pStyle w:val="Prrafodelista"/>
              <w:widowControl w:val="0"/>
              <w:numPr>
                <w:ilvl w:val="0"/>
                <w:numId w:val="1"/>
              </w:numPr>
              <w:tabs>
                <w:tab w:val="left" w:pos="50"/>
                <w:tab w:val="left" w:pos="192"/>
              </w:tabs>
              <w:ind w:left="50" w:hanging="50"/>
              <w:rPr>
                <w:rFonts w:asciiTheme="minorHAnsi" w:hAnsiTheme="minorHAnsi" w:cstheme="minorHAnsi"/>
                <w:color w:val="4F81BD" w:themeColor="accent1"/>
              </w:rPr>
            </w:pPr>
            <w:r w:rsidRPr="00AB15B1">
              <w:rPr>
                <w:rFonts w:asciiTheme="minorHAnsi" w:hAnsiTheme="minorHAnsi" w:cstheme="minorHAnsi"/>
              </w:rPr>
              <w:t xml:space="preserve">Se participó en gira de campo a la zona núcleo, para constatar algunos daños por descombros y también para apoyar al </w:t>
            </w:r>
            <w:r w:rsidRPr="00AB15B1">
              <w:rPr>
                <w:rFonts w:asciiTheme="minorHAnsi" w:hAnsiTheme="minorHAnsi" w:cstheme="minorHAnsi"/>
                <w:b/>
              </w:rPr>
              <w:t>Consejo Consultivo Comunitario</w:t>
            </w:r>
            <w:r w:rsidRPr="00AB15B1">
              <w:rPr>
                <w:rFonts w:asciiTheme="minorHAnsi" w:hAnsiTheme="minorHAnsi" w:cstheme="minorHAnsi"/>
              </w:rPr>
              <w:t xml:space="preserve"> en su accionar.</w:t>
            </w:r>
          </w:p>
          <w:p w:rsidR="00AB15B1" w:rsidRPr="00AB15B1" w:rsidRDefault="00AB15B1" w:rsidP="00AB15B1">
            <w:pPr>
              <w:pStyle w:val="Prrafodelista"/>
              <w:rPr>
                <w:rFonts w:asciiTheme="minorHAnsi" w:hAnsiTheme="minorHAnsi" w:cstheme="minorHAnsi"/>
                <w:color w:val="4F81BD" w:themeColor="accent1"/>
              </w:rPr>
            </w:pPr>
          </w:p>
          <w:p w:rsidR="00AB15B1" w:rsidRPr="00AB15B1" w:rsidRDefault="00AB15B1" w:rsidP="00AB15B1">
            <w:pPr>
              <w:rPr>
                <w:rFonts w:cstheme="minorHAnsi"/>
              </w:rPr>
            </w:pPr>
            <w:r w:rsidRPr="00AB15B1">
              <w:rPr>
                <w:rFonts w:cstheme="minorHAnsi"/>
              </w:rPr>
              <w:t>Se completa información de implementación con el informe del mes de marzo 2015.</w:t>
            </w:r>
          </w:p>
          <w:p w:rsidR="00AB15B1" w:rsidRPr="00AB15B1" w:rsidRDefault="00AB15B1" w:rsidP="00AB15B1">
            <w:pPr>
              <w:rPr>
                <w:rFonts w:cstheme="minorHAnsi"/>
              </w:rPr>
            </w:pPr>
          </w:p>
          <w:p w:rsidR="00AB15B1" w:rsidRPr="00AB15B1" w:rsidRDefault="00AB15B1" w:rsidP="00AB15B1">
            <w:pPr>
              <w:rPr>
                <w:rFonts w:cstheme="minorHAnsi"/>
              </w:rPr>
            </w:pPr>
          </w:p>
          <w:p w:rsidR="00AB15B1" w:rsidRPr="00AB15B1" w:rsidRDefault="00AB15B1" w:rsidP="00AB15B1">
            <w:pPr>
              <w:rPr>
                <w:rFonts w:cstheme="minorHAnsi"/>
                <w:b/>
                <w:color w:val="548DD4" w:themeColor="text2" w:themeTint="99"/>
              </w:rPr>
            </w:pPr>
            <w:r w:rsidRPr="00AB15B1">
              <w:rPr>
                <w:rFonts w:cstheme="minorHAnsi"/>
                <w:b/>
                <w:color w:val="548DD4" w:themeColor="text2" w:themeTint="99"/>
              </w:rPr>
              <w:t xml:space="preserve">MARZO 2015 </w:t>
            </w:r>
          </w:p>
          <w:p w:rsidR="00AB15B1" w:rsidRPr="00AB15B1" w:rsidRDefault="00AB15B1" w:rsidP="00AB15B1">
            <w:pPr>
              <w:rPr>
                <w:rFonts w:cstheme="minorHAnsi"/>
              </w:rPr>
            </w:pP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Fortalecer la estructura institucional y conocimiento técnico de las entidades co-manejadoras</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Dar seguimiento en la oficialización (mediante decreto legislativo) de la propuesta de ley de recategorización y redefinición de límites del AP.</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Elaborar 10 planes específicos</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Asegurar que el Comité Técnico de Comanejo cuente con una planificación anual referida al PM</w:t>
            </w:r>
          </w:p>
          <w:p w:rsidR="00AB15B1" w:rsidRPr="00AB15B1" w:rsidRDefault="00AB15B1" w:rsidP="00AB15B1">
            <w:pPr>
              <w:pStyle w:val="Prrafodelista"/>
              <w:numPr>
                <w:ilvl w:val="0"/>
                <w:numId w:val="3"/>
              </w:numPr>
              <w:tabs>
                <w:tab w:val="left" w:pos="175"/>
              </w:tabs>
              <w:ind w:left="175" w:hanging="175"/>
              <w:contextualSpacing w:val="0"/>
              <w:rPr>
                <w:rFonts w:asciiTheme="minorHAnsi" w:hAnsiTheme="minorHAnsi" w:cstheme="minorHAnsi"/>
              </w:rPr>
            </w:pPr>
            <w:r w:rsidRPr="00AB15B1">
              <w:rPr>
                <w:rFonts w:asciiTheme="minorHAnsi" w:hAnsiTheme="minorHAnsi" w:cstheme="minorHAnsi"/>
              </w:rPr>
              <w:t xml:space="preserve"> Identificar y establecer compromisos con instituciones privadas, ONGD, organizaciones nacionales e internacionales que apoyen en el financiamiento del manejo del AP.</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Elaborar e implementar un plan anual de prevención y combate de incendios forestales (construcción de rondas, compra de equipo y materiales, formación y capacitación de cuadrillas de combate).</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Establecer un mecanismo de vigilancia y control participativo con instituciones, organizaciones y autoridades locales para reducir o eliminar las deforestaciones, fuentes de contaminación y actividades no permitidas en el AP.</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Fortalecer las autoridades municipales y organizaciones locales en la protección de los recursos del AP</w:t>
            </w:r>
          </w:p>
          <w:p w:rsidR="00AB15B1" w:rsidRPr="00AB15B1" w:rsidRDefault="00AB15B1" w:rsidP="00AB15B1">
            <w:pPr>
              <w:pStyle w:val="Prrafodelista"/>
              <w:numPr>
                <w:ilvl w:val="0"/>
                <w:numId w:val="3"/>
              </w:numPr>
              <w:tabs>
                <w:tab w:val="left" w:pos="175"/>
              </w:tabs>
              <w:ind w:left="175" w:hanging="175"/>
              <w:rPr>
                <w:rFonts w:asciiTheme="minorHAnsi" w:hAnsiTheme="minorHAnsi" w:cstheme="minorHAnsi"/>
              </w:rPr>
            </w:pPr>
            <w:r w:rsidRPr="00AB15B1">
              <w:rPr>
                <w:rFonts w:asciiTheme="minorHAnsi" w:hAnsiTheme="minorHAnsi" w:cstheme="minorHAnsi"/>
              </w:rPr>
              <w:t>Diseñar e implementar un programa de educación ambiental formal e informal así como la concientización ambiental</w:t>
            </w:r>
          </w:p>
          <w:p w:rsidR="00AB15B1" w:rsidRPr="00AB15B1" w:rsidRDefault="00AB15B1" w:rsidP="00AB15B1">
            <w:pPr>
              <w:tabs>
                <w:tab w:val="left" w:pos="175"/>
              </w:tabs>
              <w:ind w:left="175" w:hanging="175"/>
              <w:rPr>
                <w:rFonts w:eastAsia="Times New Roman" w:cstheme="minorHAnsi"/>
                <w:lang w:eastAsia="es-HN"/>
              </w:rPr>
            </w:pPr>
          </w:p>
          <w:p w:rsidR="00E30210" w:rsidRPr="00574D81" w:rsidRDefault="00E30210" w:rsidP="0011004D">
            <w:pPr>
              <w:spacing w:line="264" w:lineRule="auto"/>
              <w:jc w:val="both"/>
              <w:rPr>
                <w:rFonts w:cstheme="minorHAnsi"/>
                <w:lang w:val="es-ES"/>
              </w:rPr>
            </w:pPr>
          </w:p>
        </w:tc>
      </w:tr>
      <w:tr w:rsidR="0081762A" w:rsidTr="00C54A49">
        <w:trPr>
          <w:trHeight w:val="2534"/>
        </w:trPr>
        <w:tc>
          <w:tcPr>
            <w:tcW w:w="2093" w:type="dxa"/>
            <w:shd w:val="clear" w:color="auto" w:fill="auto"/>
          </w:tcPr>
          <w:p w:rsidR="0081762A" w:rsidRDefault="0081762A" w:rsidP="00C54A49">
            <w:pPr>
              <w:spacing w:line="264" w:lineRule="auto"/>
              <w:rPr>
                <w:b/>
                <w:sz w:val="24"/>
              </w:rPr>
            </w:pPr>
            <w:r w:rsidRPr="0088230D">
              <w:rPr>
                <w:b/>
                <w:sz w:val="24"/>
              </w:rPr>
              <w:lastRenderedPageBreak/>
              <w:t>Procesos de avance:</w:t>
            </w:r>
          </w:p>
          <w:p w:rsidR="0081762A" w:rsidRDefault="0081762A" w:rsidP="00E30210">
            <w:pPr>
              <w:spacing w:line="264" w:lineRule="auto"/>
              <w:rPr>
                <w:b/>
                <w:sz w:val="24"/>
              </w:rPr>
            </w:pPr>
          </w:p>
          <w:p w:rsidR="0081762A" w:rsidRPr="0088230D" w:rsidRDefault="0081762A" w:rsidP="00E30210">
            <w:pPr>
              <w:spacing w:line="264" w:lineRule="auto"/>
              <w:rPr>
                <w:b/>
                <w:sz w:val="24"/>
              </w:rPr>
            </w:pPr>
            <w:r w:rsidRPr="00C54A49">
              <w:rPr>
                <w:b/>
                <w:sz w:val="24"/>
              </w:rPr>
              <w:t>RESERVA BIOLÓGICA CERRO DE UYUCA</w:t>
            </w:r>
          </w:p>
        </w:tc>
        <w:tc>
          <w:tcPr>
            <w:tcW w:w="11161" w:type="dxa"/>
            <w:gridSpan w:val="6"/>
          </w:tcPr>
          <w:p w:rsidR="0081762A" w:rsidRPr="0081762A" w:rsidRDefault="0081762A" w:rsidP="006E5C1E">
            <w:pPr>
              <w:pStyle w:val="Prrafodelista"/>
              <w:widowControl w:val="0"/>
              <w:tabs>
                <w:tab w:val="left" w:pos="284"/>
              </w:tabs>
              <w:ind w:left="0"/>
              <w:jc w:val="both"/>
              <w:rPr>
                <w:rFonts w:asciiTheme="minorHAnsi" w:eastAsia="Times New Roman" w:hAnsiTheme="minorHAnsi" w:cstheme="minorHAnsi"/>
                <w:lang w:eastAsia="es-HN"/>
              </w:rPr>
            </w:pPr>
          </w:p>
          <w:p w:rsidR="004839D0" w:rsidRDefault="004839D0" w:rsidP="004839D0">
            <w:pPr>
              <w:rPr>
                <w:rFonts w:eastAsia="Times New Roman" w:cstheme="minorHAnsi"/>
                <w:b/>
                <w:color w:val="548DD4" w:themeColor="text2" w:themeTint="99"/>
                <w:lang w:eastAsia="es-HN"/>
              </w:rPr>
            </w:pPr>
            <w:r w:rsidRPr="00AB15B1">
              <w:rPr>
                <w:rFonts w:eastAsia="Times New Roman" w:cstheme="minorHAnsi"/>
                <w:b/>
                <w:color w:val="548DD4" w:themeColor="text2" w:themeTint="99"/>
                <w:lang w:eastAsia="es-HN"/>
              </w:rPr>
              <w:t>ENERO 2015</w:t>
            </w:r>
          </w:p>
          <w:p w:rsidR="0081762A" w:rsidRPr="0081762A" w:rsidRDefault="0081762A" w:rsidP="006E5C1E">
            <w:pPr>
              <w:pStyle w:val="Prrafodelista"/>
              <w:widowControl w:val="0"/>
              <w:tabs>
                <w:tab w:val="left" w:pos="284"/>
              </w:tabs>
              <w:ind w:left="0"/>
              <w:jc w:val="both"/>
              <w:rPr>
                <w:rFonts w:asciiTheme="minorHAnsi" w:eastAsia="Times New Roman" w:hAnsiTheme="minorHAnsi" w:cstheme="minorHAnsi"/>
                <w:lang w:eastAsia="es-HN"/>
              </w:rPr>
            </w:pPr>
            <w:r w:rsidRPr="0081762A">
              <w:rPr>
                <w:rFonts w:asciiTheme="minorHAnsi" w:eastAsia="Times New Roman" w:hAnsiTheme="minorHAnsi" w:cstheme="minorHAnsi"/>
                <w:lang w:eastAsia="es-HN"/>
              </w:rPr>
              <w:t>Elaboración del POB con comanejador.</w:t>
            </w:r>
          </w:p>
          <w:p w:rsidR="0081762A" w:rsidRPr="0081762A" w:rsidRDefault="0081762A" w:rsidP="006E5C1E">
            <w:pPr>
              <w:pStyle w:val="Prrafodelista"/>
              <w:widowControl w:val="0"/>
              <w:tabs>
                <w:tab w:val="left" w:pos="284"/>
              </w:tabs>
              <w:ind w:left="0"/>
              <w:jc w:val="both"/>
              <w:rPr>
                <w:rFonts w:asciiTheme="minorHAnsi" w:eastAsia="Times New Roman" w:hAnsiTheme="minorHAnsi" w:cstheme="minorHAnsi"/>
                <w:lang w:eastAsia="es-HN"/>
              </w:rPr>
            </w:pPr>
            <w:r w:rsidRPr="0081762A">
              <w:rPr>
                <w:rFonts w:asciiTheme="minorHAnsi" w:eastAsia="Times New Roman" w:hAnsiTheme="minorHAnsi" w:cstheme="minorHAnsi"/>
                <w:lang w:eastAsia="es-HN"/>
              </w:rPr>
              <w:t>Se han realizado Dictamen de Vocación de Suelo en el sitio Las Cañadas Valle de Ángeles, Dictamen para mantenimiento de una carretera en el PNLT, Dictamen para construcción de vivienda en PNLT.</w:t>
            </w:r>
          </w:p>
          <w:p w:rsidR="0081762A" w:rsidRPr="0081762A" w:rsidRDefault="0081762A" w:rsidP="006E5C1E">
            <w:pPr>
              <w:pStyle w:val="Prrafodelista"/>
              <w:widowControl w:val="0"/>
              <w:tabs>
                <w:tab w:val="left" w:pos="284"/>
              </w:tabs>
              <w:ind w:left="0"/>
              <w:jc w:val="both"/>
              <w:rPr>
                <w:rFonts w:asciiTheme="minorHAnsi" w:eastAsia="Times New Roman" w:hAnsiTheme="minorHAnsi" w:cstheme="minorHAnsi"/>
                <w:lang w:eastAsia="es-HN"/>
              </w:rPr>
            </w:pPr>
          </w:p>
          <w:p w:rsidR="004839D0" w:rsidRDefault="004839D0" w:rsidP="004839D0">
            <w:pPr>
              <w:rPr>
                <w:rFonts w:eastAsia="Times New Roman" w:cstheme="minorHAnsi"/>
                <w:b/>
                <w:color w:val="548DD4" w:themeColor="text2" w:themeTint="99"/>
                <w:lang w:eastAsia="es-HN"/>
              </w:rPr>
            </w:pPr>
            <w:r w:rsidRPr="00AB15B1">
              <w:rPr>
                <w:rFonts w:eastAsia="Times New Roman" w:cstheme="minorHAnsi"/>
                <w:b/>
                <w:color w:val="548DD4" w:themeColor="text2" w:themeTint="99"/>
                <w:lang w:eastAsia="es-HN"/>
              </w:rPr>
              <w:t>FEBRERO 2015</w:t>
            </w:r>
          </w:p>
          <w:p w:rsidR="0081762A" w:rsidRPr="0081762A" w:rsidRDefault="0081762A" w:rsidP="0081762A">
            <w:pPr>
              <w:widowControl w:val="0"/>
              <w:tabs>
                <w:tab w:val="left" w:pos="50"/>
                <w:tab w:val="left" w:pos="333"/>
              </w:tabs>
              <w:jc w:val="both"/>
              <w:rPr>
                <w:rFonts w:cstheme="minorHAnsi"/>
              </w:rPr>
            </w:pPr>
            <w:r w:rsidRPr="0081762A">
              <w:rPr>
                <w:rFonts w:cstheme="minorHAnsi"/>
              </w:rPr>
              <w:t xml:space="preserve">Una reunión para conocer avances en la implementación del PO en el tema del </w:t>
            </w:r>
            <w:r w:rsidRPr="0081762A">
              <w:rPr>
                <w:rFonts w:cstheme="minorHAnsi"/>
                <w:b/>
              </w:rPr>
              <w:t xml:space="preserve">Plan de Protección </w:t>
            </w:r>
            <w:r w:rsidRPr="0081762A">
              <w:rPr>
                <w:rFonts w:cstheme="minorHAnsi"/>
              </w:rPr>
              <w:t>del Área Protegida.</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t>Reunión GARBO el 11 de Febrero</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t>Reunión de Capacitación y Organización de Comunidades de Combate de incendios 13 de Febrero en la Base</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t>Levantamiento de Muestras de suelo del lado Tatumbla se levantaron 48 muestras en todo el costado  Norte del Uyuca con la clase de suelos  como continuación de caracterización de suelos de la reserva. 14 de Febrero</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lastRenderedPageBreak/>
              <w:t>27 Feb reunión con  guarda parques don Ángel y don Wilmer para levantamiento de datos  anomalías etc.  (no hubo)</w:t>
            </w:r>
          </w:p>
          <w:p w:rsidR="0081762A" w:rsidRPr="0081762A" w:rsidRDefault="0081762A" w:rsidP="006E5C1E">
            <w:pPr>
              <w:widowControl w:val="0"/>
              <w:tabs>
                <w:tab w:val="left" w:pos="50"/>
                <w:tab w:val="left" w:pos="333"/>
              </w:tabs>
              <w:jc w:val="both"/>
              <w:rPr>
                <w:rFonts w:cstheme="minorHAnsi"/>
                <w:b/>
                <w:u w:val="single"/>
              </w:rPr>
            </w:pPr>
          </w:p>
          <w:p w:rsidR="0081762A" w:rsidRPr="0081762A" w:rsidRDefault="0081762A" w:rsidP="006E5C1E">
            <w:pPr>
              <w:jc w:val="both"/>
              <w:rPr>
                <w:rFonts w:cstheme="minorHAnsi"/>
              </w:rPr>
            </w:pPr>
            <w:r w:rsidRPr="0081762A">
              <w:rPr>
                <w:rFonts w:cstheme="minorHAnsi"/>
              </w:rPr>
              <w:t>Según reporte del CIPF en el proceso de</w:t>
            </w:r>
            <w:r w:rsidRPr="0081762A">
              <w:rPr>
                <w:rFonts w:cstheme="minorHAnsi"/>
                <w:u w:val="single"/>
              </w:rPr>
              <w:t xml:space="preserve"> </w:t>
            </w:r>
            <w:r w:rsidRPr="0081762A">
              <w:rPr>
                <w:rFonts w:cstheme="minorHAnsi"/>
                <w:b/>
              </w:rPr>
              <w:t xml:space="preserve">Regularización, </w:t>
            </w:r>
            <w:r w:rsidRPr="0081762A">
              <w:rPr>
                <w:rFonts w:cstheme="minorHAnsi"/>
              </w:rPr>
              <w:t>se aperturaron 83 expedientes de propietarios ubicados dentro de los límites del área protegida.</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t>Semana de 14-21 se continuaron limpiando rondas   para alcanzar el 100% de las rondas limpias que estaban programadas  para finalizar el mes.</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t xml:space="preserve">26 de Marzo  grupo de  tres profesores  Dr. </w:t>
            </w:r>
            <w:proofErr w:type="spellStart"/>
            <w:r w:rsidRPr="0081762A">
              <w:rPr>
                <w:rFonts w:eastAsia="Times New Roman" w:cstheme="minorHAnsi"/>
                <w:lang w:eastAsia="es-HN"/>
              </w:rPr>
              <w:t>Grant</w:t>
            </w:r>
            <w:proofErr w:type="spellEnd"/>
            <w:r w:rsidRPr="0081762A">
              <w:rPr>
                <w:rFonts w:eastAsia="Times New Roman" w:cstheme="minorHAnsi"/>
                <w:lang w:eastAsia="es-HN"/>
              </w:rPr>
              <w:t xml:space="preserve">  de Universidad de </w:t>
            </w:r>
            <w:proofErr w:type="spellStart"/>
            <w:r w:rsidRPr="0081762A">
              <w:rPr>
                <w:rFonts w:eastAsia="Times New Roman" w:cstheme="minorHAnsi"/>
                <w:lang w:eastAsia="es-HN"/>
              </w:rPr>
              <w:t>Wisener</w:t>
            </w:r>
            <w:proofErr w:type="spellEnd"/>
            <w:r w:rsidRPr="0081762A">
              <w:rPr>
                <w:rFonts w:eastAsia="Times New Roman" w:cstheme="minorHAnsi"/>
                <w:lang w:eastAsia="es-HN"/>
              </w:rPr>
              <w:t xml:space="preserve"> PA,  el </w:t>
            </w:r>
            <w:proofErr w:type="spellStart"/>
            <w:r w:rsidRPr="0081762A">
              <w:rPr>
                <w:rFonts w:eastAsia="Times New Roman" w:cstheme="minorHAnsi"/>
                <w:lang w:eastAsia="es-HN"/>
              </w:rPr>
              <w:t>Dr</w:t>
            </w:r>
            <w:proofErr w:type="spellEnd"/>
            <w:r w:rsidRPr="0081762A">
              <w:rPr>
                <w:rFonts w:eastAsia="Times New Roman" w:cstheme="minorHAnsi"/>
                <w:lang w:eastAsia="es-HN"/>
              </w:rPr>
              <w:t xml:space="preserve"> </w:t>
            </w:r>
            <w:proofErr w:type="spellStart"/>
            <w:r w:rsidRPr="0081762A">
              <w:rPr>
                <w:rFonts w:eastAsia="Times New Roman" w:cstheme="minorHAnsi"/>
                <w:lang w:eastAsia="es-HN"/>
              </w:rPr>
              <w:t>Grant</w:t>
            </w:r>
            <w:proofErr w:type="spellEnd"/>
            <w:r w:rsidRPr="0081762A">
              <w:rPr>
                <w:rFonts w:eastAsia="Times New Roman" w:cstheme="minorHAnsi"/>
                <w:lang w:eastAsia="es-HN"/>
              </w:rPr>
              <w:t xml:space="preserve"> considera regresar en Junio para una semana con el fin de retratar mariposas nocturnas para la base de datos  MOBUNA</w:t>
            </w: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p>
          <w:p w:rsidR="0081762A" w:rsidRPr="0081762A" w:rsidRDefault="0081762A" w:rsidP="0081762A">
            <w:pPr>
              <w:numPr>
                <w:ilvl w:val="0"/>
                <w:numId w:val="5"/>
              </w:numPr>
              <w:shd w:val="clear" w:color="auto" w:fill="FFFFFF"/>
              <w:spacing w:before="100" w:beforeAutospacing="1" w:after="100" w:afterAutospacing="1"/>
              <w:ind w:left="0"/>
              <w:rPr>
                <w:rFonts w:eastAsia="Times New Roman" w:cstheme="minorHAnsi"/>
                <w:lang w:eastAsia="es-HN"/>
              </w:rPr>
            </w:pPr>
            <w:r w:rsidRPr="0081762A">
              <w:rPr>
                <w:rFonts w:eastAsia="Times New Roman" w:cstheme="minorHAnsi"/>
                <w:lang w:eastAsia="es-HN"/>
              </w:rPr>
              <w:t xml:space="preserve">Primera reunión de formación de comités de combate de incendios  se dio en los últimos días de Febrero aquí en AID Zamorano (la segunda está programada para mañana </w:t>
            </w:r>
            <w:proofErr w:type="gramStart"/>
            <w:r w:rsidRPr="0081762A">
              <w:rPr>
                <w:rFonts w:eastAsia="Times New Roman" w:cstheme="minorHAnsi"/>
                <w:lang w:eastAsia="es-HN"/>
              </w:rPr>
              <w:t>( 24</w:t>
            </w:r>
            <w:proofErr w:type="gramEnd"/>
            <w:r w:rsidRPr="0081762A">
              <w:rPr>
                <w:rFonts w:eastAsia="Times New Roman" w:cstheme="minorHAnsi"/>
                <w:lang w:eastAsia="es-HN"/>
              </w:rPr>
              <w:t xml:space="preserve"> marzo).</w:t>
            </w:r>
          </w:p>
          <w:p w:rsidR="0081762A" w:rsidRPr="0081762A" w:rsidRDefault="0081762A" w:rsidP="006E5C1E">
            <w:pPr>
              <w:jc w:val="both"/>
              <w:rPr>
                <w:rFonts w:eastAsia="Times New Roman" w:cstheme="minorHAnsi"/>
                <w:lang w:eastAsia="es-HN"/>
              </w:rPr>
            </w:pPr>
          </w:p>
        </w:tc>
      </w:tr>
      <w:tr w:rsidR="004839D0" w:rsidRPr="00574D81" w:rsidTr="00C54A49">
        <w:trPr>
          <w:trHeight w:val="2534"/>
        </w:trPr>
        <w:tc>
          <w:tcPr>
            <w:tcW w:w="2093" w:type="dxa"/>
            <w:shd w:val="clear" w:color="auto" w:fill="auto"/>
          </w:tcPr>
          <w:p w:rsidR="004839D0" w:rsidRPr="00574D81" w:rsidRDefault="004839D0" w:rsidP="004839D0">
            <w:pPr>
              <w:spacing w:line="264" w:lineRule="auto"/>
              <w:rPr>
                <w:b/>
              </w:rPr>
            </w:pPr>
            <w:r w:rsidRPr="00574D81">
              <w:rPr>
                <w:b/>
              </w:rPr>
              <w:lastRenderedPageBreak/>
              <w:t>Procesos de avance:</w:t>
            </w:r>
          </w:p>
          <w:p w:rsidR="004839D0" w:rsidRPr="00574D81" w:rsidRDefault="004839D0" w:rsidP="00C54A49">
            <w:pPr>
              <w:spacing w:line="264" w:lineRule="auto"/>
              <w:rPr>
                <w:b/>
              </w:rPr>
            </w:pPr>
          </w:p>
          <w:p w:rsidR="004839D0" w:rsidRPr="00574D81" w:rsidRDefault="004839D0" w:rsidP="00C54A49">
            <w:pPr>
              <w:spacing w:line="264" w:lineRule="auto"/>
              <w:rPr>
                <w:b/>
              </w:rPr>
            </w:pPr>
            <w:r w:rsidRPr="00574D81">
              <w:rPr>
                <w:b/>
              </w:rPr>
              <w:t>PARQUE NACIONAL NOMBRE DE DIOS</w:t>
            </w:r>
          </w:p>
        </w:tc>
        <w:tc>
          <w:tcPr>
            <w:tcW w:w="11161" w:type="dxa"/>
            <w:gridSpan w:val="6"/>
          </w:tcPr>
          <w:p w:rsidR="004839D0" w:rsidRPr="00574D81" w:rsidRDefault="004839D0" w:rsidP="004839D0">
            <w:pPr>
              <w:tabs>
                <w:tab w:val="left" w:pos="0"/>
              </w:tabs>
              <w:spacing w:after="200" w:line="276" w:lineRule="auto"/>
              <w:jc w:val="both"/>
              <w:rPr>
                <w:rFonts w:cstheme="minorHAnsi"/>
                <w:b/>
                <w:color w:val="4F81BD" w:themeColor="accent1"/>
              </w:rPr>
            </w:pPr>
            <w:r w:rsidRPr="00574D81">
              <w:rPr>
                <w:rFonts w:cstheme="minorHAnsi"/>
                <w:b/>
                <w:color w:val="4F81BD" w:themeColor="accent1"/>
              </w:rPr>
              <w:t>ENERO/2015</w:t>
            </w:r>
          </w:p>
          <w:p w:rsidR="004839D0" w:rsidRPr="00574D81" w:rsidRDefault="004839D0" w:rsidP="004839D0">
            <w:pPr>
              <w:tabs>
                <w:tab w:val="left" w:pos="0"/>
              </w:tabs>
              <w:spacing w:after="200" w:line="276" w:lineRule="auto"/>
              <w:jc w:val="both"/>
              <w:rPr>
                <w:rFonts w:cstheme="minorHAnsi"/>
              </w:rPr>
            </w:pPr>
            <w:r w:rsidRPr="00574D81">
              <w:rPr>
                <w:rFonts w:cstheme="minorHAnsi"/>
              </w:rPr>
              <w:t xml:space="preserve">Referente al tema de los </w:t>
            </w:r>
            <w:r w:rsidRPr="00574D81">
              <w:rPr>
                <w:rFonts w:cstheme="minorHAnsi"/>
                <w:b/>
              </w:rPr>
              <w:t>contratos de usufructo</w:t>
            </w:r>
            <w:r w:rsidRPr="00574D81">
              <w:rPr>
                <w:rFonts w:cstheme="minorHAnsi"/>
              </w:rPr>
              <w:t>, se ha dado seguimiento a solicitudes en proceso.</w:t>
            </w:r>
          </w:p>
          <w:p w:rsidR="004839D0" w:rsidRPr="00574D81" w:rsidRDefault="004839D0" w:rsidP="004839D0">
            <w:pPr>
              <w:spacing w:after="200" w:line="276" w:lineRule="auto"/>
              <w:jc w:val="both"/>
              <w:rPr>
                <w:rFonts w:cstheme="minorHAnsi"/>
                <w:b/>
                <w:color w:val="4F81BD" w:themeColor="accent1"/>
              </w:rPr>
            </w:pPr>
            <w:r w:rsidRPr="00574D81">
              <w:rPr>
                <w:rFonts w:cstheme="minorHAnsi"/>
                <w:b/>
                <w:color w:val="4F81BD" w:themeColor="accent1"/>
              </w:rPr>
              <w:t>FEBRERO/2015</w:t>
            </w:r>
          </w:p>
          <w:p w:rsidR="004839D0" w:rsidRPr="00574D81" w:rsidRDefault="004839D0" w:rsidP="004839D0">
            <w:pPr>
              <w:spacing w:after="120"/>
              <w:jc w:val="both"/>
              <w:rPr>
                <w:rFonts w:eastAsia="Times New Roman" w:cstheme="minorHAnsi"/>
                <w:b/>
                <w:lang w:val="es-ES" w:eastAsia="es-ES"/>
              </w:rPr>
            </w:pPr>
            <w:r w:rsidRPr="00574D81">
              <w:rPr>
                <w:rFonts w:eastAsia="Times New Roman" w:cstheme="minorHAnsi"/>
                <w:lang w:val="es-ES" w:eastAsia="es-ES"/>
              </w:rPr>
              <w:t xml:space="preserve">El Jueves 26 de Febrero se Reunirá el  </w:t>
            </w:r>
            <w:r w:rsidRPr="00574D81">
              <w:rPr>
                <w:rFonts w:eastAsia="Times New Roman" w:cstheme="minorHAnsi"/>
                <w:b/>
                <w:lang w:val="es-ES" w:eastAsia="es-ES"/>
              </w:rPr>
              <w:t>Comité Técnico</w:t>
            </w:r>
            <w:r w:rsidRPr="00574D81">
              <w:rPr>
                <w:rFonts w:eastAsia="Times New Roman" w:cstheme="minorHAnsi"/>
                <w:lang w:val="es-ES" w:eastAsia="es-ES"/>
              </w:rPr>
              <w:t xml:space="preserve"> para definir las actividades a realizar, enmarcadas en el plan de Manejo y POA 2015, correspondiente al primer semestre de este año y en cumplimiento a las </w:t>
            </w:r>
            <w:r w:rsidRPr="00574D81">
              <w:rPr>
                <w:rFonts w:eastAsia="Times New Roman" w:cstheme="minorHAnsi"/>
                <w:b/>
                <w:lang w:val="es-ES" w:eastAsia="es-ES"/>
              </w:rPr>
              <w:t>metas PASFOR.</w:t>
            </w:r>
          </w:p>
          <w:p w:rsidR="004839D0" w:rsidRPr="00574D81" w:rsidRDefault="004839D0" w:rsidP="004839D0">
            <w:pPr>
              <w:spacing w:after="120"/>
              <w:jc w:val="both"/>
              <w:rPr>
                <w:rFonts w:eastAsia="Times New Roman" w:cstheme="minorHAnsi"/>
                <w:b/>
                <w:color w:val="548DD4" w:themeColor="text2" w:themeTint="99"/>
                <w:lang w:val="es-ES" w:eastAsia="es-ES"/>
              </w:rPr>
            </w:pPr>
            <w:r w:rsidRPr="00574D81">
              <w:rPr>
                <w:rFonts w:eastAsia="Times New Roman" w:cstheme="minorHAnsi"/>
                <w:b/>
                <w:color w:val="548DD4" w:themeColor="text2" w:themeTint="99"/>
                <w:lang w:val="es-ES" w:eastAsia="es-ES"/>
              </w:rPr>
              <w:t>MARZO 2015</w:t>
            </w:r>
          </w:p>
          <w:p w:rsidR="004839D0" w:rsidRPr="00574D81" w:rsidRDefault="004839D0" w:rsidP="004839D0">
            <w:pPr>
              <w:spacing w:after="200" w:line="276" w:lineRule="auto"/>
              <w:jc w:val="both"/>
              <w:rPr>
                <w:rFonts w:eastAsia="Times New Roman" w:cstheme="minorHAnsi"/>
                <w:lang w:eastAsia="es-HN"/>
              </w:rPr>
            </w:pPr>
            <w:r w:rsidRPr="00574D81">
              <w:rPr>
                <w:rFonts w:eastAsia="Times New Roman" w:cstheme="minorHAnsi"/>
                <w:lang w:eastAsia="es-HN"/>
              </w:rPr>
              <w:t xml:space="preserve">A partir de marzo 2015,  la Región Forestal Atlántida inició reuniones con los miembros del Comité Técnico de Comanejo para organizar la Junta Directiva y definir el PO Bianual. </w:t>
            </w:r>
          </w:p>
          <w:p w:rsidR="004839D0" w:rsidRPr="00574D81" w:rsidRDefault="004839D0" w:rsidP="004839D0">
            <w:pPr>
              <w:spacing w:after="200" w:line="276" w:lineRule="auto"/>
              <w:jc w:val="both"/>
              <w:rPr>
                <w:rFonts w:eastAsia="Times New Roman" w:cstheme="minorHAnsi"/>
                <w:lang w:eastAsia="es-HN"/>
              </w:rPr>
            </w:pPr>
            <w:r w:rsidRPr="00574D81">
              <w:rPr>
                <w:rFonts w:eastAsia="Times New Roman" w:cstheme="minorHAnsi"/>
                <w:color w:val="000000"/>
                <w:shd w:val="clear" w:color="auto" w:fill="FFFFFF"/>
                <w:lang w:eastAsia="es-HN"/>
              </w:rPr>
              <w:t xml:space="preserve">El poa se trabajó con el Comanejador del área protegida (Fundación para la Protección del Parque Nacional Nombre de Dios), se identificaron actividades que se pueden hacer con algunos proyectos como la parte de Investigación con proyecto </w:t>
            </w:r>
            <w:proofErr w:type="spellStart"/>
            <w:r w:rsidRPr="00574D81">
              <w:rPr>
                <w:rFonts w:eastAsia="Times New Roman" w:cstheme="minorHAnsi"/>
                <w:color w:val="000000"/>
                <w:shd w:val="clear" w:color="auto" w:fill="FFFFFF"/>
                <w:lang w:eastAsia="es-HN"/>
              </w:rPr>
              <w:t>Phantera</w:t>
            </w:r>
            <w:proofErr w:type="spellEnd"/>
            <w:r w:rsidRPr="00574D81">
              <w:rPr>
                <w:rFonts w:eastAsia="Times New Roman" w:cstheme="minorHAnsi"/>
                <w:color w:val="000000"/>
                <w:shd w:val="clear" w:color="auto" w:fill="FFFFFF"/>
                <w:lang w:eastAsia="es-HN"/>
              </w:rPr>
              <w:t xml:space="preserve">, así como la parte de declaratoria de Micro cuencas con el componente de cuencas de la regional y que </w:t>
            </w:r>
            <w:r w:rsidRPr="00574D81">
              <w:rPr>
                <w:rFonts w:eastAsia="Times New Roman" w:cstheme="minorHAnsi"/>
                <w:color w:val="000000"/>
                <w:shd w:val="clear" w:color="auto" w:fill="FFFFFF"/>
                <w:lang w:eastAsia="es-HN"/>
              </w:rPr>
              <w:lastRenderedPageBreak/>
              <w:t>están dentro del PNND, así mismo se identificaron otras actividades que se pueden hacer con las municipalidades las cuales se van confirmar con la reunión del comité que se tiene para el mes de Abril; así mismo se han elaborado diferentes propuestas para obtener fondos y poder realizar actividades de protección, recuperación de áreas de mangles y desarrollo social, las cuales esperamos para el mes de Abril poder tener las respuesta de aprobación o no, ya que en caso de ser negativas se tendría que ajustar nuevamente el poa de acuerdo a los recursos disponibles.</w:t>
            </w:r>
          </w:p>
          <w:p w:rsidR="004839D0" w:rsidRPr="00574D81" w:rsidRDefault="004839D0" w:rsidP="004839D0">
            <w:pPr>
              <w:spacing w:after="200" w:line="276" w:lineRule="auto"/>
              <w:jc w:val="both"/>
              <w:rPr>
                <w:rFonts w:eastAsia="Times New Roman" w:cstheme="minorHAnsi"/>
                <w:color w:val="000000"/>
                <w:lang w:eastAsia="es-HN"/>
              </w:rPr>
            </w:pPr>
            <w:r w:rsidRPr="00574D81">
              <w:rPr>
                <w:rFonts w:eastAsia="Times New Roman" w:cstheme="minorHAnsi"/>
                <w:color w:val="000000"/>
                <w:lang w:eastAsia="es-HN"/>
              </w:rPr>
              <w:t>La idea es comenzar a ejecutar estas actividades en el mes de Abril, por lo que se acordó una reunión por semana con el comanejador para ir planificando las actividades a desarrollar.</w:t>
            </w:r>
          </w:p>
          <w:p w:rsidR="004839D0" w:rsidRPr="00990FD1" w:rsidRDefault="004839D0" w:rsidP="00574D81">
            <w:pPr>
              <w:pStyle w:val="Textoindependienteprimerasangra2"/>
              <w:spacing w:after="0"/>
              <w:ind w:left="317" w:firstLine="0"/>
              <w:contextualSpacing/>
              <w:jc w:val="both"/>
              <w:rPr>
                <w:rFonts w:asciiTheme="minorHAnsi" w:hAnsiTheme="minorHAnsi" w:cstheme="minorHAnsi"/>
                <w:sz w:val="22"/>
                <w:szCs w:val="22"/>
                <w:lang w:val="es-HN" w:eastAsia="es-HN"/>
              </w:rPr>
            </w:pPr>
          </w:p>
        </w:tc>
      </w:tr>
    </w:tbl>
    <w:p w:rsidR="00E30210" w:rsidRPr="00574D81" w:rsidRDefault="00E30210" w:rsidP="00E30210">
      <w:pPr>
        <w:spacing w:after="0" w:line="264" w:lineRule="auto"/>
        <w:jc w:val="center"/>
        <w:rPr>
          <w:b/>
        </w:rPr>
      </w:pPr>
    </w:p>
    <w:sectPr w:rsidR="00E30210" w:rsidRPr="00574D81" w:rsidSect="00E3021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1022"/>
    <w:multiLevelType w:val="multilevel"/>
    <w:tmpl w:val="3AF8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77ABC"/>
    <w:multiLevelType w:val="hybridMultilevel"/>
    <w:tmpl w:val="DF5C798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0A00020"/>
    <w:multiLevelType w:val="hybridMultilevel"/>
    <w:tmpl w:val="275EA9B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4F6C216C"/>
    <w:multiLevelType w:val="hybridMultilevel"/>
    <w:tmpl w:val="5E323F06"/>
    <w:lvl w:ilvl="0" w:tplc="4BCAD5BA">
      <w:start w:val="1"/>
      <w:numFmt w:val="decimal"/>
      <w:lvlText w:val="%1."/>
      <w:lvlJc w:val="left"/>
      <w:pPr>
        <w:ind w:left="720" w:hanging="360"/>
      </w:pPr>
      <w:rPr>
        <w:rFonts w:asciiTheme="minorHAnsi" w:eastAsiaTheme="minorHAnsi" w:hAnsiTheme="minorHAnsi" w:cs="Calibri" w:hint="default"/>
        <w:b w:val="0"/>
        <w:sz w:val="16"/>
        <w:szCs w:val="16"/>
        <w:u w:val="no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54EE0781"/>
    <w:multiLevelType w:val="hybridMultilevel"/>
    <w:tmpl w:val="1178A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03139D"/>
    <w:multiLevelType w:val="hybridMultilevel"/>
    <w:tmpl w:val="D44033A4"/>
    <w:lvl w:ilvl="0" w:tplc="480A000F">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
    <w:nsid w:val="7F694047"/>
    <w:multiLevelType w:val="hybridMultilevel"/>
    <w:tmpl w:val="95D20E76"/>
    <w:lvl w:ilvl="0" w:tplc="FFDC294C">
      <w:start w:val="1"/>
      <w:numFmt w:val="decimal"/>
      <w:lvlText w:val="%1."/>
      <w:lvlJc w:val="left"/>
      <w:pPr>
        <w:ind w:left="720" w:hanging="360"/>
      </w:pPr>
      <w:rPr>
        <w:rFonts w:ascii="Calibri" w:hAnsi="Calibri"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10"/>
    <w:rsid w:val="001079BA"/>
    <w:rsid w:val="0011004D"/>
    <w:rsid w:val="004839D0"/>
    <w:rsid w:val="00551057"/>
    <w:rsid w:val="00560448"/>
    <w:rsid w:val="00574D81"/>
    <w:rsid w:val="00744CF9"/>
    <w:rsid w:val="0077406E"/>
    <w:rsid w:val="0081762A"/>
    <w:rsid w:val="0088230D"/>
    <w:rsid w:val="00990FD1"/>
    <w:rsid w:val="00A04258"/>
    <w:rsid w:val="00A352A0"/>
    <w:rsid w:val="00A657F4"/>
    <w:rsid w:val="00AB15B1"/>
    <w:rsid w:val="00C54A49"/>
    <w:rsid w:val="00CA18BB"/>
    <w:rsid w:val="00D61071"/>
    <w:rsid w:val="00DC7B0E"/>
    <w:rsid w:val="00E30210"/>
    <w:rsid w:val="00EA389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15B1"/>
    <w:pPr>
      <w:ind w:left="720"/>
      <w:contextualSpacing/>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574D81"/>
    <w:pPr>
      <w:spacing w:after="120"/>
      <w:ind w:left="283"/>
    </w:pPr>
  </w:style>
  <w:style w:type="character" w:customStyle="1" w:styleId="SangradetextonormalCar">
    <w:name w:val="Sangría de texto normal Car"/>
    <w:basedOn w:val="Fuentedeprrafopredeter"/>
    <w:link w:val="Sangradetextonormal"/>
    <w:uiPriority w:val="99"/>
    <w:semiHidden/>
    <w:rsid w:val="00574D81"/>
  </w:style>
  <w:style w:type="paragraph" w:styleId="Textoindependienteprimerasangra2">
    <w:name w:val="Body Text First Indent 2"/>
    <w:basedOn w:val="Sangradetextonormal"/>
    <w:link w:val="Textoindependienteprimerasangra2Car"/>
    <w:uiPriority w:val="99"/>
    <w:unhideWhenUsed/>
    <w:rsid w:val="00574D81"/>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74D8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15B1"/>
    <w:pPr>
      <w:ind w:left="720"/>
      <w:contextualSpacing/>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574D81"/>
    <w:pPr>
      <w:spacing w:after="120"/>
      <w:ind w:left="283"/>
    </w:pPr>
  </w:style>
  <w:style w:type="character" w:customStyle="1" w:styleId="SangradetextonormalCar">
    <w:name w:val="Sangría de texto normal Car"/>
    <w:basedOn w:val="Fuentedeprrafopredeter"/>
    <w:link w:val="Sangradetextonormal"/>
    <w:uiPriority w:val="99"/>
    <w:semiHidden/>
    <w:rsid w:val="00574D81"/>
  </w:style>
  <w:style w:type="paragraph" w:styleId="Textoindependienteprimerasangra2">
    <w:name w:val="Body Text First Indent 2"/>
    <w:basedOn w:val="Sangradetextonormal"/>
    <w:link w:val="Textoindependienteprimerasangra2Car"/>
    <w:uiPriority w:val="99"/>
    <w:unhideWhenUsed/>
    <w:rsid w:val="00574D81"/>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74D8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4598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Mendieta</dc:creator>
  <cp:lastModifiedBy>Carmen Alejandra CG. Garcia Membreño</cp:lastModifiedBy>
  <cp:revision>2</cp:revision>
  <dcterms:created xsi:type="dcterms:W3CDTF">2015-05-05T21:21:00Z</dcterms:created>
  <dcterms:modified xsi:type="dcterms:W3CDTF">2015-05-05T21:21:00Z</dcterms:modified>
</cp:coreProperties>
</file>