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70D" w:rsidRDefault="00E9370D" w:rsidP="00E30210">
      <w:pPr>
        <w:spacing w:after="0" w:line="264" w:lineRule="auto"/>
        <w:jc w:val="center"/>
        <w:rPr>
          <w:b/>
        </w:rPr>
      </w:pPr>
      <w:r>
        <w:rPr>
          <w:noProof/>
          <w:lang w:eastAsia="es-HN"/>
        </w:rPr>
        <w:drawing>
          <wp:anchor distT="0" distB="0" distL="114300" distR="114300" simplePos="0" relativeHeight="251659264" behindDoc="0" locked="0" layoutInCell="1" allowOverlap="1" wp14:anchorId="762ED59A" wp14:editId="7DC55D8B">
            <wp:simplePos x="0" y="0"/>
            <wp:positionH relativeFrom="column">
              <wp:posOffset>2614930</wp:posOffset>
            </wp:positionH>
            <wp:positionV relativeFrom="paragraph">
              <wp:posOffset>-581660</wp:posOffset>
            </wp:positionV>
            <wp:extent cx="2822575" cy="807085"/>
            <wp:effectExtent l="0" t="0" r="0" b="0"/>
            <wp:wrapSquare wrapText="bothSides"/>
            <wp:docPr id="6" name="Imagen 6" descr="Logo_ICF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CF_2014"/>
                    <pic:cNvPicPr>
                      <a:picLocks noChangeAspect="1" noChangeArrowheads="1"/>
                    </pic:cNvPicPr>
                  </pic:nvPicPr>
                  <pic:blipFill>
                    <a:blip r:embed="rId7"/>
                    <a:srcRect/>
                    <a:stretch>
                      <a:fillRect/>
                    </a:stretch>
                  </pic:blipFill>
                  <pic:spPr bwMode="auto">
                    <a:xfrm>
                      <a:off x="0" y="0"/>
                      <a:ext cx="282257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1A73" w:rsidRDefault="00931A73" w:rsidP="00E30210">
      <w:pPr>
        <w:spacing w:after="0" w:line="264" w:lineRule="auto"/>
        <w:jc w:val="center"/>
        <w:rPr>
          <w:b/>
        </w:rPr>
      </w:pPr>
    </w:p>
    <w:p w:rsidR="008713C8" w:rsidRDefault="008713C8" w:rsidP="00E30210">
      <w:pPr>
        <w:spacing w:after="0" w:line="264" w:lineRule="auto"/>
        <w:jc w:val="center"/>
        <w:rPr>
          <w:b/>
        </w:rPr>
      </w:pPr>
    </w:p>
    <w:p w:rsidR="00744CF9" w:rsidRDefault="00E9370D" w:rsidP="00E30210">
      <w:pPr>
        <w:spacing w:after="0" w:line="264" w:lineRule="auto"/>
        <w:jc w:val="center"/>
        <w:rPr>
          <w:b/>
        </w:rPr>
      </w:pPr>
      <w:r>
        <w:rPr>
          <w:b/>
        </w:rPr>
        <w:t>AVANCE DE CUMPLIMIENTO INDICADORES</w:t>
      </w:r>
      <w:r w:rsidR="00E30210">
        <w:rPr>
          <w:b/>
        </w:rPr>
        <w:t xml:space="preserve"> PAPSFOR</w:t>
      </w:r>
    </w:p>
    <w:p w:rsidR="00931A73" w:rsidRDefault="00931A73" w:rsidP="00E30210">
      <w:pPr>
        <w:spacing w:after="0" w:line="264" w:lineRule="auto"/>
        <w:jc w:val="center"/>
        <w:rPr>
          <w:b/>
        </w:rPr>
      </w:pPr>
    </w:p>
    <w:p w:rsidR="00931A73" w:rsidRDefault="00931A73" w:rsidP="00E30210">
      <w:pPr>
        <w:spacing w:after="0" w:line="264" w:lineRule="auto"/>
        <w:jc w:val="center"/>
        <w:rPr>
          <w:b/>
        </w:rPr>
      </w:pPr>
    </w:p>
    <w:tbl>
      <w:tblPr>
        <w:tblStyle w:val="Tablaconcuadrcula"/>
        <w:tblW w:w="13461" w:type="dxa"/>
        <w:tblLook w:val="04A0" w:firstRow="1" w:lastRow="0" w:firstColumn="1" w:lastColumn="0" w:noHBand="0" w:noVBand="1"/>
      </w:tblPr>
      <w:tblGrid>
        <w:gridCol w:w="2126"/>
        <w:gridCol w:w="2447"/>
        <w:gridCol w:w="1871"/>
        <w:gridCol w:w="1872"/>
        <w:gridCol w:w="1727"/>
        <w:gridCol w:w="1584"/>
        <w:gridCol w:w="1834"/>
      </w:tblGrid>
      <w:tr w:rsidR="00931A73" w:rsidTr="008713C8">
        <w:trPr>
          <w:trHeight w:val="990"/>
        </w:trPr>
        <w:tc>
          <w:tcPr>
            <w:tcW w:w="4573" w:type="dxa"/>
            <w:gridSpan w:val="2"/>
            <w:vAlign w:val="center"/>
          </w:tcPr>
          <w:p w:rsidR="00931A73" w:rsidRDefault="00931A73" w:rsidP="003850A3">
            <w:pPr>
              <w:spacing w:line="264" w:lineRule="auto"/>
              <w:jc w:val="center"/>
              <w:rPr>
                <w:b/>
              </w:rPr>
            </w:pPr>
            <w:r>
              <w:rPr>
                <w:b/>
              </w:rPr>
              <w:t>Descripción del Indicador</w:t>
            </w:r>
          </w:p>
        </w:tc>
        <w:tc>
          <w:tcPr>
            <w:tcW w:w="1871" w:type="dxa"/>
            <w:vAlign w:val="center"/>
          </w:tcPr>
          <w:p w:rsidR="00931A73" w:rsidRDefault="00931A73" w:rsidP="003850A3">
            <w:pPr>
              <w:spacing w:line="264" w:lineRule="auto"/>
              <w:jc w:val="center"/>
              <w:rPr>
                <w:b/>
              </w:rPr>
            </w:pPr>
            <w:r>
              <w:rPr>
                <w:b/>
              </w:rPr>
              <w:t>Meta</w:t>
            </w:r>
          </w:p>
          <w:p w:rsidR="00931A73" w:rsidRDefault="00931A73" w:rsidP="003850A3">
            <w:pPr>
              <w:spacing w:line="264" w:lineRule="auto"/>
              <w:jc w:val="center"/>
              <w:rPr>
                <w:b/>
              </w:rPr>
            </w:pPr>
            <w:r>
              <w:rPr>
                <w:b/>
              </w:rPr>
              <w:t>Anual</w:t>
            </w:r>
          </w:p>
        </w:tc>
        <w:tc>
          <w:tcPr>
            <w:tcW w:w="1872" w:type="dxa"/>
            <w:vAlign w:val="center"/>
          </w:tcPr>
          <w:p w:rsidR="00931A73" w:rsidRDefault="00931A73" w:rsidP="003850A3">
            <w:pPr>
              <w:spacing w:line="264" w:lineRule="auto"/>
              <w:jc w:val="center"/>
              <w:rPr>
                <w:b/>
              </w:rPr>
            </w:pPr>
            <w:r>
              <w:rPr>
                <w:b/>
              </w:rPr>
              <w:t>Programado I</w:t>
            </w:r>
          </w:p>
          <w:p w:rsidR="00931A73" w:rsidRDefault="00931A73" w:rsidP="003850A3">
            <w:pPr>
              <w:spacing w:line="264" w:lineRule="auto"/>
              <w:jc w:val="center"/>
              <w:rPr>
                <w:b/>
              </w:rPr>
            </w:pPr>
            <w:r>
              <w:rPr>
                <w:b/>
              </w:rPr>
              <w:t>Trimestre</w:t>
            </w:r>
          </w:p>
        </w:tc>
        <w:tc>
          <w:tcPr>
            <w:tcW w:w="1727" w:type="dxa"/>
            <w:vAlign w:val="center"/>
          </w:tcPr>
          <w:p w:rsidR="00931A73" w:rsidRDefault="00931A73" w:rsidP="003850A3">
            <w:pPr>
              <w:spacing w:line="264" w:lineRule="auto"/>
              <w:jc w:val="center"/>
              <w:rPr>
                <w:b/>
              </w:rPr>
            </w:pPr>
            <w:r>
              <w:rPr>
                <w:b/>
              </w:rPr>
              <w:t>Ejecutado I</w:t>
            </w:r>
          </w:p>
          <w:p w:rsidR="00931A73" w:rsidRDefault="00931A73" w:rsidP="003850A3">
            <w:pPr>
              <w:spacing w:line="264" w:lineRule="auto"/>
              <w:jc w:val="center"/>
              <w:rPr>
                <w:b/>
              </w:rPr>
            </w:pPr>
            <w:r>
              <w:rPr>
                <w:b/>
              </w:rPr>
              <w:t>Trimestre</w:t>
            </w:r>
          </w:p>
        </w:tc>
        <w:tc>
          <w:tcPr>
            <w:tcW w:w="1584" w:type="dxa"/>
            <w:vAlign w:val="center"/>
          </w:tcPr>
          <w:p w:rsidR="00931A73" w:rsidRDefault="00931A73" w:rsidP="003850A3">
            <w:pPr>
              <w:spacing w:line="264" w:lineRule="auto"/>
              <w:jc w:val="center"/>
              <w:rPr>
                <w:b/>
              </w:rPr>
            </w:pPr>
            <w:r>
              <w:rPr>
                <w:b/>
              </w:rPr>
              <w:t>Total Acumulado</w:t>
            </w:r>
          </w:p>
        </w:tc>
        <w:tc>
          <w:tcPr>
            <w:tcW w:w="1834" w:type="dxa"/>
            <w:vAlign w:val="center"/>
          </w:tcPr>
          <w:p w:rsidR="00931A73" w:rsidRDefault="00DE77A2" w:rsidP="003850A3">
            <w:pPr>
              <w:spacing w:line="264" w:lineRule="auto"/>
              <w:jc w:val="center"/>
              <w:rPr>
                <w:b/>
              </w:rPr>
            </w:pPr>
            <w:r>
              <w:rPr>
                <w:b/>
              </w:rPr>
              <w:t>Pendiente de ejecutar meta anual</w:t>
            </w:r>
          </w:p>
        </w:tc>
      </w:tr>
      <w:tr w:rsidR="00931A73" w:rsidTr="008713C8">
        <w:trPr>
          <w:trHeight w:val="1324"/>
        </w:trPr>
        <w:tc>
          <w:tcPr>
            <w:tcW w:w="4573" w:type="dxa"/>
            <w:gridSpan w:val="2"/>
          </w:tcPr>
          <w:p w:rsidR="00931A73" w:rsidRDefault="00931A73" w:rsidP="00931A73">
            <w:pPr>
              <w:jc w:val="both"/>
              <w:rPr>
                <w:b/>
                <w:szCs w:val="20"/>
              </w:rPr>
            </w:pPr>
            <w:r w:rsidRPr="00931A73">
              <w:rPr>
                <w:b/>
                <w:szCs w:val="20"/>
              </w:rPr>
              <w:t>Ind</w:t>
            </w:r>
            <w:r>
              <w:rPr>
                <w:b/>
                <w:szCs w:val="20"/>
              </w:rPr>
              <w:t>icador</w:t>
            </w:r>
            <w:r w:rsidRPr="00931A73">
              <w:rPr>
                <w:b/>
                <w:szCs w:val="20"/>
              </w:rPr>
              <w:t xml:space="preserve"> 3</w:t>
            </w:r>
            <w:r>
              <w:rPr>
                <w:b/>
                <w:szCs w:val="20"/>
              </w:rPr>
              <w:t>:</w:t>
            </w:r>
          </w:p>
          <w:p w:rsidR="00931A73" w:rsidRPr="008713C8" w:rsidRDefault="00931A73" w:rsidP="008713C8">
            <w:pPr>
              <w:jc w:val="both"/>
              <w:rPr>
                <w:b/>
                <w:szCs w:val="20"/>
              </w:rPr>
            </w:pPr>
            <w:r w:rsidRPr="00931A73">
              <w:rPr>
                <w:b/>
                <w:szCs w:val="20"/>
              </w:rPr>
              <w:t>Superficie de tierras nacionales de vocación forestal regularizadas y  tituladas a favor del estado</w:t>
            </w:r>
            <w:r>
              <w:rPr>
                <w:b/>
                <w:szCs w:val="20"/>
              </w:rPr>
              <w:t>.</w:t>
            </w:r>
          </w:p>
        </w:tc>
        <w:tc>
          <w:tcPr>
            <w:tcW w:w="1871" w:type="dxa"/>
            <w:vAlign w:val="center"/>
          </w:tcPr>
          <w:p w:rsidR="00931A73" w:rsidRDefault="00931A73" w:rsidP="00931A73">
            <w:pPr>
              <w:spacing w:line="264" w:lineRule="auto"/>
              <w:jc w:val="center"/>
              <w:rPr>
                <w:b/>
              </w:rPr>
            </w:pPr>
            <w:r>
              <w:rPr>
                <w:b/>
              </w:rPr>
              <w:t>10,000</w:t>
            </w:r>
          </w:p>
        </w:tc>
        <w:tc>
          <w:tcPr>
            <w:tcW w:w="1872" w:type="dxa"/>
            <w:vAlign w:val="center"/>
          </w:tcPr>
          <w:p w:rsidR="00931A73" w:rsidRDefault="00931A73" w:rsidP="00931A73">
            <w:pPr>
              <w:spacing w:line="264" w:lineRule="auto"/>
              <w:jc w:val="center"/>
              <w:rPr>
                <w:b/>
              </w:rPr>
            </w:pPr>
            <w:r>
              <w:rPr>
                <w:b/>
              </w:rPr>
              <w:t>0</w:t>
            </w:r>
          </w:p>
        </w:tc>
        <w:tc>
          <w:tcPr>
            <w:tcW w:w="1727" w:type="dxa"/>
            <w:vAlign w:val="center"/>
          </w:tcPr>
          <w:p w:rsidR="00931A73" w:rsidRDefault="00931A73" w:rsidP="00931A73">
            <w:pPr>
              <w:spacing w:line="264" w:lineRule="auto"/>
              <w:jc w:val="center"/>
              <w:rPr>
                <w:b/>
              </w:rPr>
            </w:pPr>
            <w:r>
              <w:rPr>
                <w:b/>
              </w:rPr>
              <w:t>0</w:t>
            </w:r>
          </w:p>
        </w:tc>
        <w:tc>
          <w:tcPr>
            <w:tcW w:w="1584" w:type="dxa"/>
            <w:vAlign w:val="center"/>
          </w:tcPr>
          <w:p w:rsidR="00931A73" w:rsidRDefault="00931A73" w:rsidP="00931A73">
            <w:pPr>
              <w:spacing w:line="264" w:lineRule="auto"/>
              <w:jc w:val="center"/>
              <w:rPr>
                <w:b/>
              </w:rPr>
            </w:pPr>
            <w:r>
              <w:rPr>
                <w:b/>
              </w:rPr>
              <w:t>0</w:t>
            </w:r>
          </w:p>
        </w:tc>
        <w:tc>
          <w:tcPr>
            <w:tcW w:w="1834" w:type="dxa"/>
            <w:vAlign w:val="center"/>
          </w:tcPr>
          <w:p w:rsidR="00931A73" w:rsidRDefault="00931A73" w:rsidP="00931A73">
            <w:pPr>
              <w:spacing w:line="264" w:lineRule="auto"/>
              <w:jc w:val="center"/>
              <w:rPr>
                <w:b/>
              </w:rPr>
            </w:pPr>
            <w:r>
              <w:rPr>
                <w:b/>
              </w:rPr>
              <w:t>10,000</w:t>
            </w:r>
          </w:p>
        </w:tc>
      </w:tr>
      <w:tr w:rsidR="00931A73" w:rsidTr="008713C8">
        <w:trPr>
          <w:trHeight w:val="2854"/>
        </w:trPr>
        <w:tc>
          <w:tcPr>
            <w:tcW w:w="2126" w:type="dxa"/>
          </w:tcPr>
          <w:p w:rsidR="00931A73" w:rsidRPr="0088230D" w:rsidRDefault="00DE77A2" w:rsidP="003850A3">
            <w:pPr>
              <w:spacing w:line="264" w:lineRule="auto"/>
              <w:rPr>
                <w:b/>
                <w:sz w:val="24"/>
              </w:rPr>
            </w:pPr>
            <w:r>
              <w:rPr>
                <w:b/>
                <w:sz w:val="24"/>
              </w:rPr>
              <w:t>A</w:t>
            </w:r>
            <w:r w:rsidR="00931A73" w:rsidRPr="0088230D">
              <w:rPr>
                <w:b/>
                <w:sz w:val="24"/>
              </w:rPr>
              <w:t>vance:</w:t>
            </w:r>
          </w:p>
        </w:tc>
        <w:tc>
          <w:tcPr>
            <w:tcW w:w="11335" w:type="dxa"/>
            <w:gridSpan w:val="6"/>
          </w:tcPr>
          <w:p w:rsidR="00DE77A2" w:rsidRDefault="00DE77A2" w:rsidP="00DE77A2">
            <w:pPr>
              <w:pStyle w:val="Prrafodelista"/>
              <w:numPr>
                <w:ilvl w:val="0"/>
                <w:numId w:val="1"/>
              </w:numPr>
              <w:spacing w:line="264" w:lineRule="auto"/>
              <w:jc w:val="both"/>
              <w:rPr>
                <w:szCs w:val="20"/>
              </w:rPr>
            </w:pPr>
            <w:r w:rsidRPr="00DE77A2">
              <w:rPr>
                <w:szCs w:val="20"/>
              </w:rPr>
              <w:t>S</w:t>
            </w:r>
            <w:r w:rsidR="00931A73" w:rsidRPr="00DE77A2">
              <w:rPr>
                <w:szCs w:val="20"/>
              </w:rPr>
              <w:t xml:space="preserve">e tienen conformados los expedientes </w:t>
            </w:r>
            <w:r w:rsidR="00626AB0" w:rsidRPr="00DE77A2">
              <w:rPr>
                <w:szCs w:val="20"/>
              </w:rPr>
              <w:t xml:space="preserve">de las áreas de “Tapiquil y Las Mangas” y “San José de Los Guares” </w:t>
            </w:r>
            <w:r w:rsidR="00931A73" w:rsidRPr="00DE77A2">
              <w:rPr>
                <w:szCs w:val="20"/>
              </w:rPr>
              <w:t xml:space="preserve">y </w:t>
            </w:r>
            <w:r w:rsidR="00626AB0" w:rsidRPr="00DE77A2">
              <w:rPr>
                <w:szCs w:val="20"/>
              </w:rPr>
              <w:t xml:space="preserve">“Villa Santa”. </w:t>
            </w:r>
            <w:r w:rsidRPr="00DE77A2">
              <w:rPr>
                <w:szCs w:val="20"/>
              </w:rPr>
              <w:t>El cumplimiento de la meta se registrará en el último trimestre de acuerdo a calendarización POA 2015.</w:t>
            </w:r>
          </w:p>
          <w:p w:rsidR="00DE77A2" w:rsidRPr="00DE77A2" w:rsidRDefault="00626AB0" w:rsidP="00DE77A2">
            <w:pPr>
              <w:pStyle w:val="Prrafodelista"/>
              <w:numPr>
                <w:ilvl w:val="0"/>
                <w:numId w:val="1"/>
              </w:numPr>
              <w:spacing w:line="264" w:lineRule="auto"/>
              <w:jc w:val="both"/>
              <w:rPr>
                <w:szCs w:val="20"/>
              </w:rPr>
            </w:pPr>
            <w:r w:rsidRPr="00DE77A2">
              <w:rPr>
                <w:szCs w:val="20"/>
              </w:rPr>
              <w:t>S</w:t>
            </w:r>
            <w:r w:rsidR="00931A73" w:rsidRPr="00DE77A2">
              <w:rPr>
                <w:szCs w:val="20"/>
              </w:rPr>
              <w:t>e le ha dado seguimiento a los procesos de precalificación registral (que realiza el Instituto de la Propiedad) de las Resoluciones</w:t>
            </w:r>
            <w:r w:rsidRPr="00DE77A2">
              <w:rPr>
                <w:szCs w:val="20"/>
              </w:rPr>
              <w:t xml:space="preserve">. </w:t>
            </w:r>
          </w:p>
          <w:p w:rsidR="00931A73" w:rsidRPr="00DE77A2" w:rsidRDefault="00626AB0" w:rsidP="00DE77A2">
            <w:pPr>
              <w:pStyle w:val="Prrafodelista"/>
              <w:numPr>
                <w:ilvl w:val="0"/>
                <w:numId w:val="1"/>
              </w:numPr>
              <w:spacing w:line="264" w:lineRule="auto"/>
              <w:jc w:val="both"/>
              <w:rPr>
                <w:szCs w:val="20"/>
              </w:rPr>
            </w:pPr>
            <w:r w:rsidRPr="00DE77A2">
              <w:rPr>
                <w:szCs w:val="20"/>
              </w:rPr>
              <w:t xml:space="preserve">A la fecha </w:t>
            </w:r>
            <w:r w:rsidR="00931A73" w:rsidRPr="00DE77A2">
              <w:rPr>
                <w:szCs w:val="20"/>
              </w:rPr>
              <w:t>ya se tiene la aceptación por parte de IP</w:t>
            </w:r>
            <w:r w:rsidRPr="00DE77A2">
              <w:rPr>
                <w:szCs w:val="20"/>
              </w:rPr>
              <w:t xml:space="preserve"> de las dos primeras áreas</w:t>
            </w:r>
            <w:r w:rsidR="00931A73" w:rsidRPr="00DE77A2">
              <w:rPr>
                <w:szCs w:val="20"/>
              </w:rPr>
              <w:t xml:space="preserve">. El caso del área </w:t>
            </w:r>
            <w:r w:rsidRPr="00DE77A2">
              <w:rPr>
                <w:szCs w:val="20"/>
              </w:rPr>
              <w:t>de Villa Santa</w:t>
            </w:r>
            <w:r w:rsidR="00931A73" w:rsidRPr="00DE77A2">
              <w:rPr>
                <w:szCs w:val="20"/>
              </w:rPr>
              <w:t xml:space="preserve"> se preparó la Resolución para su respectiva precalificación, actualmente se trabaja en las enmiendas presentadas por el Registrador de Danlí que tienen que ver más con la forma de presentación del mapa y no del texto de la Resolución.</w:t>
            </w:r>
            <w:r w:rsidR="00DE77A2" w:rsidRPr="00DE77A2">
              <w:rPr>
                <w:szCs w:val="20"/>
              </w:rPr>
              <w:t xml:space="preserve"> </w:t>
            </w:r>
          </w:p>
          <w:p w:rsidR="00626AB0" w:rsidRPr="00DE77A2" w:rsidRDefault="00626AB0" w:rsidP="00DE77A2">
            <w:pPr>
              <w:pStyle w:val="Prrafodelista"/>
              <w:numPr>
                <w:ilvl w:val="0"/>
                <w:numId w:val="1"/>
              </w:numPr>
              <w:spacing w:line="264" w:lineRule="auto"/>
              <w:jc w:val="both"/>
              <w:rPr>
                <w:szCs w:val="20"/>
              </w:rPr>
            </w:pPr>
            <w:r w:rsidRPr="00DE77A2">
              <w:rPr>
                <w:szCs w:val="20"/>
              </w:rPr>
              <w:t>La superficie a regularizar con estas tres áreas es de 11,403.57 hectáreas, beneficiando aproximadamente a 1,000 familias que se encuentran asentadas dentro del bosque nacional.</w:t>
            </w:r>
          </w:p>
          <w:p w:rsidR="00931A73" w:rsidRPr="00DE77A2" w:rsidRDefault="00931A73" w:rsidP="00DE77A2">
            <w:pPr>
              <w:pStyle w:val="Prrafodelista"/>
              <w:numPr>
                <w:ilvl w:val="0"/>
                <w:numId w:val="1"/>
              </w:numPr>
              <w:spacing w:line="264" w:lineRule="auto"/>
              <w:jc w:val="both"/>
              <w:rPr>
                <w:sz w:val="24"/>
                <w:szCs w:val="20"/>
              </w:rPr>
            </w:pPr>
            <w:bookmarkStart w:id="0" w:name="_GoBack"/>
            <w:bookmarkEnd w:id="0"/>
            <w:r w:rsidRPr="00DE77A2">
              <w:rPr>
                <w:szCs w:val="20"/>
              </w:rPr>
              <w:t>Es importante mencionar que se está trabajando además en el área de “Agua Fría Mineral” (la cual está programada para el 2016), proceso en el que ya se ha realizado la declaratoria de Zona a Regularizar, y se está coordinando con el Departamento de Desarrollo Forestal Comunitario, para el saneamiento del área en cuestión.</w:t>
            </w:r>
          </w:p>
        </w:tc>
      </w:tr>
    </w:tbl>
    <w:p w:rsidR="00B50E7C" w:rsidRDefault="00B50E7C" w:rsidP="00E30210">
      <w:pPr>
        <w:spacing w:after="0" w:line="264" w:lineRule="auto"/>
        <w:jc w:val="center"/>
        <w:rPr>
          <w:b/>
        </w:rPr>
      </w:pPr>
    </w:p>
    <w:p w:rsidR="00B50E7C" w:rsidRPr="00E30210" w:rsidRDefault="00B50E7C" w:rsidP="00E30210">
      <w:pPr>
        <w:spacing w:after="0" w:line="264" w:lineRule="auto"/>
        <w:jc w:val="center"/>
        <w:rPr>
          <w:b/>
        </w:rPr>
      </w:pPr>
    </w:p>
    <w:sectPr w:rsidR="00B50E7C" w:rsidRPr="00E30210" w:rsidSect="00B50E7C">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0056"/>
    <w:multiLevelType w:val="hybridMultilevel"/>
    <w:tmpl w:val="438A794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10"/>
    <w:rsid w:val="0011004D"/>
    <w:rsid w:val="002B0796"/>
    <w:rsid w:val="00310EBB"/>
    <w:rsid w:val="00364045"/>
    <w:rsid w:val="00433336"/>
    <w:rsid w:val="005376DC"/>
    <w:rsid w:val="00541147"/>
    <w:rsid w:val="005E1C95"/>
    <w:rsid w:val="00626AB0"/>
    <w:rsid w:val="006826C7"/>
    <w:rsid w:val="00744CF9"/>
    <w:rsid w:val="007655EE"/>
    <w:rsid w:val="007A6AB1"/>
    <w:rsid w:val="0082664E"/>
    <w:rsid w:val="008518EA"/>
    <w:rsid w:val="008713C8"/>
    <w:rsid w:val="008A1606"/>
    <w:rsid w:val="00931A73"/>
    <w:rsid w:val="00AD16EA"/>
    <w:rsid w:val="00AF5602"/>
    <w:rsid w:val="00B50E7C"/>
    <w:rsid w:val="00BE2C65"/>
    <w:rsid w:val="00C112A8"/>
    <w:rsid w:val="00C60A51"/>
    <w:rsid w:val="00C9717F"/>
    <w:rsid w:val="00D61071"/>
    <w:rsid w:val="00DA6225"/>
    <w:rsid w:val="00DC7B0E"/>
    <w:rsid w:val="00DE77A2"/>
    <w:rsid w:val="00E30210"/>
    <w:rsid w:val="00E909B2"/>
    <w:rsid w:val="00E9370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83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F3DF-6875-46F1-8993-EDE5D70A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236</Words>
  <Characters>1301</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Mendieta</dc:creator>
  <cp:lastModifiedBy>Carmen Alejandra CG. Garcia Membreño</cp:lastModifiedBy>
  <cp:revision>11</cp:revision>
  <cp:lastPrinted>2015-04-21T20:55:00Z</cp:lastPrinted>
  <dcterms:created xsi:type="dcterms:W3CDTF">2015-04-21T20:57:00Z</dcterms:created>
  <dcterms:modified xsi:type="dcterms:W3CDTF">2015-05-21T15:43:00Z</dcterms:modified>
</cp:coreProperties>
</file>